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35"/>
        <w:gridCol w:w="1035"/>
        <w:gridCol w:w="3000"/>
        <w:gridCol w:w="2073"/>
      </w:tblGrid>
      <w:tr w:rsidR="005E685A" w:rsidRPr="003E11B9" w:rsidTr="001215D2">
        <w:trPr>
          <w:cantSplit/>
          <w:trHeight w:val="370"/>
          <w:tblHeader/>
          <w:jc w:val="center"/>
        </w:trPr>
        <w:tc>
          <w:tcPr>
            <w:tcW w:w="2604" w:type="pct"/>
            <w:vAlign w:val="center"/>
          </w:tcPr>
          <w:p w:rsidR="005E685A" w:rsidRPr="003E11B9" w:rsidRDefault="007F23E4" w:rsidP="001215D2">
            <w:pPr>
              <w:wordWrap w:val="0"/>
              <w:snapToGrid w:val="0"/>
              <w:spacing w:line="240" w:lineRule="atLeast"/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東芳 </w:t>
            </w:r>
            <w:r w:rsidR="005E685A" w:rsidRPr="003E11B9">
              <w:rPr>
                <w:rFonts w:ascii="標楷體" w:eastAsia="標楷體"/>
                <w:sz w:val="28"/>
              </w:rPr>
              <w:br w:type="page"/>
            </w:r>
            <w:r w:rsidR="005E685A" w:rsidRPr="003E11B9">
              <w:rPr>
                <w:rFonts w:ascii="標楷體" w:eastAsia="標楷體" w:hint="eastAsia"/>
                <w:sz w:val="28"/>
              </w:rPr>
              <w:t>國民小學一○</w:t>
            </w:r>
            <w:r w:rsidR="00060FC9">
              <w:rPr>
                <w:rFonts w:ascii="標楷體" w:eastAsia="標楷體" w:hint="eastAsia"/>
                <w:sz w:val="28"/>
              </w:rPr>
              <w:t>七</w:t>
            </w:r>
            <w:r w:rsidR="00F819CA">
              <w:rPr>
                <w:rFonts w:ascii="標楷體" w:eastAsia="標楷體" w:hint="eastAsia"/>
                <w:sz w:val="28"/>
              </w:rPr>
              <w:t xml:space="preserve"> </w:t>
            </w:r>
            <w:r w:rsidR="005E685A" w:rsidRPr="003E11B9">
              <w:rPr>
                <w:rFonts w:ascii="標楷體" w:eastAsia="標楷體" w:hint="eastAsia"/>
                <w:sz w:val="28"/>
              </w:rPr>
              <w:t>學年度上學期</w:t>
            </w:r>
          </w:p>
        </w:tc>
        <w:tc>
          <w:tcPr>
            <w:tcW w:w="347" w:type="pct"/>
            <w:vAlign w:val="center"/>
          </w:tcPr>
          <w:p w:rsidR="005E685A" w:rsidRPr="003E11B9" w:rsidRDefault="005E685A" w:rsidP="001215D2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3E11B9">
              <w:rPr>
                <w:rFonts w:ascii="標楷體" w:eastAsia="標楷體" w:hint="eastAsia"/>
                <w:sz w:val="28"/>
              </w:rPr>
              <w:t>六</w:t>
            </w:r>
          </w:p>
        </w:tc>
        <w:tc>
          <w:tcPr>
            <w:tcW w:w="347" w:type="pct"/>
            <w:vAlign w:val="center"/>
          </w:tcPr>
          <w:p w:rsidR="005E685A" w:rsidRPr="003E11B9" w:rsidRDefault="005E685A" w:rsidP="001215D2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3E11B9"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1006" w:type="pct"/>
            <w:vAlign w:val="center"/>
          </w:tcPr>
          <w:p w:rsidR="005E685A" w:rsidRPr="003E11B9" w:rsidRDefault="005E685A" w:rsidP="001215D2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3E11B9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695" w:type="pct"/>
            <w:vAlign w:val="center"/>
          </w:tcPr>
          <w:p w:rsidR="005E685A" w:rsidRPr="003E11B9" w:rsidRDefault="005E685A" w:rsidP="001215D2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3E11B9">
              <w:rPr>
                <w:rFonts w:ascii="標楷體" w:eastAsia="標楷體" w:hint="eastAsia"/>
                <w:sz w:val="28"/>
              </w:rPr>
              <w:t>課程計畫</w:t>
            </w:r>
          </w:p>
        </w:tc>
      </w:tr>
    </w:tbl>
    <w:p w:rsidR="005E685A" w:rsidRDefault="005E685A" w:rsidP="005E685A">
      <w:pPr>
        <w:rPr>
          <w:rFonts w:ascii="新細明體" w:eastAsia="新細明體" w:hAnsi="新細明體"/>
          <w:sz w:val="20"/>
          <w:szCs w:val="20"/>
        </w:rPr>
      </w:pPr>
    </w:p>
    <w:p w:rsidR="00541CF9" w:rsidRDefault="00541CF9" w:rsidP="00541CF9">
      <w:pPr>
        <w:rPr>
          <w:rFonts w:ascii="新細明體" w:eastAsia="新細明體" w:hAnsi="新細明體"/>
          <w:sz w:val="24"/>
          <w:szCs w:val="20"/>
        </w:rPr>
      </w:pPr>
      <w:r w:rsidRPr="001F5282">
        <w:rPr>
          <w:rFonts w:ascii="新細明體" w:eastAsia="新細明體" w:hAnsi="新細明體" w:hint="eastAsia"/>
          <w:sz w:val="24"/>
          <w:szCs w:val="20"/>
        </w:rPr>
        <w:t>（一）六</w:t>
      </w:r>
      <w:r w:rsidRPr="001F5282">
        <w:rPr>
          <w:rFonts w:ascii="新細明體" w:eastAsia="新細明體" w:hAnsi="新細明體"/>
          <w:sz w:val="24"/>
          <w:szCs w:val="20"/>
        </w:rPr>
        <w:t>年級</w:t>
      </w:r>
      <w:r w:rsidRPr="001F5282">
        <w:rPr>
          <w:rFonts w:ascii="新細明體" w:eastAsia="新細明體" w:hAnsi="新細明體" w:hint="eastAsia"/>
          <w:sz w:val="24"/>
          <w:szCs w:val="20"/>
        </w:rPr>
        <w:t>上</w:t>
      </w:r>
      <w:r w:rsidRPr="001F5282">
        <w:rPr>
          <w:rFonts w:ascii="新細明體" w:eastAsia="新細明體" w:hAnsi="新細明體"/>
          <w:sz w:val="24"/>
          <w:szCs w:val="20"/>
        </w:rPr>
        <w:t>學期之學習目標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能經驗質數和合數。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能察覺正整數的質因數，並能做質因數分解。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能察覺正整數的最大公因數。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能察覺正整數的最小公倍數。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在具體情境中，理解最簡分數的意義。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能在具體情境中，解決同分母分數的除法問題。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能在具體情境中，解決整數除以分數的問題。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能在具體情境中，解決異分母分數的除法問題。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能在具體情境中，解決有餘數的分數除法。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能在具體情境中，解決分數除法的應用問題。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能察覺分數除法的運算格式。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能用直式處理整數除以小數有關的除法問題。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能用直式處理小數除以小數有關的除法問題。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能解決生活中與小數除法有關的除法問題。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能了解小數除法中，被除數、除數和商之間的除法問題。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能熟練四捨五入法對小數在指定位數取概數。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能熟練除數是小數，用四捨五入法求商到小數指定位數。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認識比的意義與表示法。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認識比值的意義和除法的關係。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了解比的相等關係。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認識最簡單整數比。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認識兩個數量成正比的關係。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會繪製正比的關係圖。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應用比和比值解決有關的問題。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lastRenderedPageBreak/>
        <w:t>能理解正比的現象，並發展正比的概念，解決生活中的問題。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能理解圓周率的意義、求法。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能用圓周率求出圓周長或直徑。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能理解求圓面積的方法和公式，並加以運用。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理解扇形面積的求法及其運用。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理解複合圖形面積的求法。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能熟練四捨五入法取概數，做整數的乘、除法估算。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能熟練四捨五入法取概數，做小數的加、減法估算。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能熟練四捨五入法取概數，做小數的乘、除法估算。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能用小數、分數進行秒、分、時的換算。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能理解速率的意義及其直接、間接比較。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能理解速率的公式以及速率的普遍單位。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能利用速率相關的數量關係，列出恰當的算式，進行解題，並檢驗解的合理性。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能理解速率導出單位的記法，並解決生活中的問題。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理解長方體和正方體中，邊和邊的關係。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理解長方體和正方體中，面和面的關係。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理解柱體和錐體中，面和面的關係。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了解柱體表面積的求法。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認識等式。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認識等量公理。</w:t>
      </w:r>
    </w:p>
    <w:p w:rsidR="00541CF9" w:rsidRPr="009744C3" w:rsidRDefault="00541CF9" w:rsidP="00541CF9">
      <w:pPr>
        <w:numPr>
          <w:ilvl w:val="0"/>
          <w:numId w:val="6"/>
        </w:numPr>
        <w:ind w:hanging="150"/>
        <w:rPr>
          <w:rFonts w:ascii="新細明體" w:eastAsia="新細明體" w:hAnsi="新細明體"/>
          <w:sz w:val="20"/>
        </w:rPr>
      </w:pPr>
      <w:r w:rsidRPr="009744C3">
        <w:rPr>
          <w:rFonts w:ascii="新細明體" w:eastAsia="新細明體" w:hAnsi="新細明體" w:hint="eastAsia"/>
          <w:sz w:val="20"/>
        </w:rPr>
        <w:t>能解決含未知數的兩步驟算式題。</w:t>
      </w:r>
    </w:p>
    <w:p w:rsidR="00541CF9" w:rsidRDefault="00541CF9" w:rsidP="00541CF9">
      <w:pPr>
        <w:rPr>
          <w:rFonts w:ascii="標楷體" w:eastAsia="標楷體"/>
          <w:sz w:val="24"/>
        </w:rPr>
      </w:pPr>
    </w:p>
    <w:p w:rsidR="00541CF9" w:rsidRPr="001F5282" w:rsidRDefault="00541CF9" w:rsidP="00541CF9">
      <w:pPr>
        <w:rPr>
          <w:rFonts w:ascii="新細明體" w:eastAsia="新細明體" w:hAnsi="新細明體"/>
          <w:sz w:val="24"/>
          <w:szCs w:val="20"/>
        </w:rPr>
      </w:pPr>
      <w:r>
        <w:rPr>
          <w:rFonts w:ascii="標楷體" w:eastAsia="標楷體"/>
          <w:sz w:val="24"/>
        </w:rPr>
        <w:br w:type="page"/>
      </w:r>
      <w:r>
        <w:rPr>
          <w:rFonts w:ascii="新細明體" w:eastAsia="新細明體" w:hint="eastAsia"/>
        </w:rPr>
        <w:lastRenderedPageBreak/>
        <w:t>（二）六年級上學期之數學領域教學計畫表</w:t>
      </w:r>
    </w:p>
    <w:p w:rsidR="00541CF9" w:rsidRPr="008C075C" w:rsidRDefault="00541CF9" w:rsidP="00541CF9">
      <w:pPr>
        <w:pStyle w:val="a3"/>
        <w:spacing w:after="92"/>
        <w:ind w:left="12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</w:t>
      </w:r>
      <w:r>
        <w:rPr>
          <w:rFonts w:ascii="新細明體" w:eastAsia="新細明體" w:hAnsi="新細明體" w:hint="eastAsia"/>
          <w:sz w:val="20"/>
          <w:szCs w:val="20"/>
        </w:rPr>
        <w:t>數學</w:t>
      </w:r>
    </w:p>
    <w:p w:rsidR="00541CF9" w:rsidRDefault="00541CF9" w:rsidP="00541CF9">
      <w:pPr>
        <w:pStyle w:val="a3"/>
        <w:spacing w:after="92"/>
        <w:ind w:left="12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六</w:t>
      </w:r>
      <w:r>
        <w:rPr>
          <w:rFonts w:ascii="新細明體" w:eastAsia="新細明體" w:hAnsi="新細明體" w:hint="eastAsia"/>
          <w:sz w:val="20"/>
          <w:szCs w:val="20"/>
        </w:rPr>
        <w:t>學年度上</w:t>
      </w:r>
      <w:r w:rsidRPr="008C075C">
        <w:rPr>
          <w:rFonts w:ascii="新細明體" w:eastAsia="新細明體" w:hAnsi="新細明體" w:hint="eastAsia"/>
          <w:sz w:val="20"/>
          <w:szCs w:val="20"/>
        </w:rPr>
        <w:t>學期</w:t>
      </w:r>
      <w:r>
        <w:rPr>
          <w:rFonts w:ascii="新細明體" w:eastAsia="新細明體" w:hAnsi="新細明體" w:hint="eastAsia"/>
          <w:sz w:val="20"/>
          <w:szCs w:val="20"/>
        </w:rPr>
        <w:t>六</w:t>
      </w:r>
      <w:r w:rsidRPr="008C075C">
        <w:rPr>
          <w:rFonts w:ascii="新細明體" w:eastAsia="新細明體" w:hAnsi="新細明體" w:hint="eastAsia"/>
          <w:sz w:val="20"/>
          <w:szCs w:val="20"/>
        </w:rPr>
        <w:t>年級學生</w:t>
      </w:r>
    </w:p>
    <w:p w:rsidR="00541CF9" w:rsidRDefault="00541CF9" w:rsidP="00541CF9">
      <w:pPr>
        <w:pStyle w:val="a3"/>
        <w:spacing w:after="92"/>
        <w:ind w:left="120"/>
        <w:rPr>
          <w:rFonts w:ascii="新細明體" w:eastAsia="新細明體" w:hAnsi="新細明體"/>
          <w:sz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541CF9" w:rsidRDefault="00D971A1" w:rsidP="00541CF9">
      <w:pPr>
        <w:rPr>
          <w:rFonts w:ascii="新細明體" w:eastAsia="新細明體" w:hAnsi="新細明體"/>
          <w:sz w:val="20"/>
          <w:szCs w:val="20"/>
        </w:rPr>
      </w:pPr>
      <w:r>
        <w:rPr>
          <w:rFonts w:ascii="細明體" w:eastAsia="細明體"/>
          <w:noProof/>
          <w:sz w:val="20"/>
          <w:szCs w:val="20"/>
        </w:rPr>
        <w:pict>
          <v:group id="_x0000_s1146" style="position:absolute;margin-left:33.55pt;margin-top:12.25pt;width:549.85pt;height:337.3pt;z-index:1" coordorigin="574,3127" coordsize="10997,67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5026;top:5610;width:2117;height:565">
              <v:textbox style="mso-next-textbox:#_x0000_s1147">
                <w:txbxContent>
                  <w:p w:rsidR="00541CF9" w:rsidRDefault="00541CF9" w:rsidP="00541CF9">
                    <w:pPr>
                      <w:pStyle w:val="af0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加油小站（一）</w:t>
                    </w:r>
                  </w:p>
                </w:txbxContent>
              </v:textbox>
            </v:shape>
            <v:shape id="_x0000_s1148" type="#_x0000_t202" style="position:absolute;left:5064;top:9308;width:2116;height:565">
              <v:textbox style="mso-next-textbox:#_x0000_s1148">
                <w:txbxContent>
                  <w:p w:rsidR="00541CF9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加油小站（二）</w:t>
                    </w:r>
                  </w:p>
                </w:txbxContent>
              </v:textbox>
            </v:shape>
            <v:line id="_x0000_s1149" style="position:absolute" from="6067,4873" to="6067,5606">
              <v:stroke endarrow="block"/>
            </v:line>
            <v:shape id="_x0000_s1150" style="position:absolute;left:6061;top:6188;width:1;height:403;mso-position-horizontal:absolute;mso-position-vertical:absolute" coordsize="1,404" path="m1,l,404e" filled="f">
              <v:stroke endarrow="block"/>
              <v:path arrowok="t"/>
            </v:shape>
            <v:shape id="_x0000_s1151" style="position:absolute;left:6072;top:8621;width:1;height:687;mso-position-horizontal:absolute;mso-position-vertical:absolute" coordsize="1,689" path="m,l,689e" filled="f">
              <v:stroke endarrow="block"/>
              <v:path arrowok="t"/>
            </v:shape>
            <v:shape id="_x0000_s1152" style="position:absolute;left:1473;top:8594;width:9190;height:1;mso-position-horizontal:absolute;mso-position-vertical:absolute" coordsize="9846,1" path="m,1l9846,e" filled="f">
              <v:path arrowok="t"/>
            </v:shape>
            <v:shape id="_x0000_s1153" style="position:absolute;left:1473;top:6597;width:9190;height:1;mso-position-horizontal:absolute;mso-position-vertical:absolute" coordsize="9846,1" path="m,1l9846,e" filled="f">
              <v:path arrowok="t"/>
            </v:shape>
            <v:shape id="_x0000_s1154" style="position:absolute;left:1473;top:4874;width:9190;height:1" coordsize="9846,1" path="m,1l9846,e" filled="f">
              <v:path arrowok="t"/>
            </v:shape>
            <v:shape id="_x0000_s1155" style="position:absolute;left:5990;top:6602;width:83;height:2019;flip:x" coordsize="1,543" path="m,l,543e" filled="f">
              <v:path arrowok="t"/>
            </v:shape>
            <v:shape id="_x0000_s1156" style="position:absolute;left:1470;top:4285;width:3;height:590;mso-position-horizontal:absolute;mso-position-vertical:absolute" coordsize="3,592" path="m3,l,592e" filled="f">
              <v:path arrowok="t"/>
            </v:shape>
            <v:shape id="_x0000_s1157" style="position:absolute;left:3768;top:4283;width:1;height:592;mso-position-horizontal:absolute;mso-position-vertical:absolute" coordsize="1,594" path="m,l,594e" filled="f">
              <v:path arrowok="t"/>
            </v:shape>
            <v:shape id="_x0000_s1158" style="position:absolute;left:10656;top:4289;width:1;height:586;mso-position-horizontal:absolute;mso-position-vertical:absolute" coordsize="1,588" path="m,l1,588e" filled="f">
              <v:path arrowok="t"/>
            </v:shape>
            <v:shape id="_x0000_s1159" style="position:absolute;left:6066;top:4279;width:1;height:592" coordsize="1,594" path="m,l,594e" filled="f">
              <v:path arrowok="t"/>
            </v:shape>
            <v:shape id="_x0000_s1160" style="position:absolute;left:8359;top:4279;width:1;height:592" coordsize="1,594" path="m,l,594e" filled="f">
              <v:path arrowok="t"/>
            </v:shape>
            <v:shape id="_x0000_s1161" type="#_x0000_t202" style="position:absolute;left:574;top:3127;width:1848;height:1236">
              <v:textbox style="mso-next-textbox:#_x0000_s1161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標楷體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單元一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標楷體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質因數分解和短除法</w:t>
                    </w:r>
                  </w:p>
                </w:txbxContent>
              </v:textbox>
            </v:shape>
            <v:shape id="_x0000_s1162" type="#_x0000_t202" style="position:absolute;left:2851;top:3217;width:1848;height:1072">
              <v:textbox style="mso-next-textbox:#_x0000_s1162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單元二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分數的除法</w:t>
                    </w:r>
                  </w:p>
                </w:txbxContent>
              </v:textbox>
            </v:shape>
            <v:shape id="_x0000_s1163" type="#_x0000_t202" style="position:absolute;left:5148;top:3207;width:1849;height:1072">
              <v:textbox style="mso-next-textbox:#_x0000_s1163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單元三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小數的除法</w:t>
                    </w:r>
                  </w:p>
                </w:txbxContent>
              </v:textbox>
            </v:shape>
            <v:shape id="_x0000_s1164" type="#_x0000_t202" style="position:absolute;left:7435;top:3207;width:1848;height:1072">
              <v:textbox style="mso-next-textbox:#_x0000_s1164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單元四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標楷體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比、比值和正比</w:t>
                    </w:r>
                  </w:p>
                </w:txbxContent>
              </v:textbox>
            </v:shape>
            <v:shape id="_x0000_s1165" type="#_x0000_t202" style="position:absolute;left:9723;top:3207;width:1848;height:1072">
              <v:textbox style="mso-next-textbox:#_x0000_s1165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單元五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圓周率和圓面積</w:t>
                    </w:r>
                  </w:p>
                </w:txbxContent>
              </v:textbox>
            </v:shape>
            <v:shape id="_x0000_s1166" style="position:absolute;left:8359;top:6602;width:83;height:2019;flip:x" coordsize="1,543" path="m,l,543e" filled="f">
              <v:path arrowok="t"/>
            </v:shape>
            <v:shape id="_x0000_s1167" style="position:absolute;left:10580;top:6602;width:83;height:2019;flip:x" coordsize="1,543" path="m,l,543e" filled="f">
              <v:path arrowok="t"/>
            </v:shape>
            <v:shape id="_x0000_s1168" style="position:absolute;left:3768;top:6597;width:83;height:2019;flip:x" coordsize="1,543" path="m,l,543e" filled="f">
              <v:path arrowok="t"/>
            </v:shape>
            <v:shape id="_x0000_s1169" style="position:absolute;left:1390;top:6602;width:83;height:2019;flip:x" coordsize="1,543" path="m,l,543e" filled="f">
              <v:path arrowok="t"/>
            </v:shape>
            <v:shape id="_x0000_s1170" type="#_x0000_t202" style="position:absolute;left:574;top:6927;width:1848;height:1072">
              <v:textbox style="mso-next-textbox:#_x0000_s1170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單元六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扇形面積</w:t>
                    </w:r>
                  </w:p>
                </w:txbxContent>
              </v:textbox>
            </v:shape>
            <v:shape id="_x0000_s1171" type="#_x0000_t202" style="position:absolute;left:2861;top:6927;width:1848;height:1072">
              <v:textbox style="mso-next-textbox:#_x0000_s1171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單元七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估算</w:t>
                    </w:r>
                  </w:p>
                </w:txbxContent>
              </v:textbox>
            </v:shape>
            <v:shape id="_x0000_s1172" type="#_x0000_t202" style="position:absolute;left:5148;top:6927;width:1849;height:1072">
              <v:textbox style="mso-next-textbox:#_x0000_s1172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單元八</w:t>
                    </w:r>
                  </w:p>
                  <w:p w:rsidR="002D3329" w:rsidRDefault="00541CF9" w:rsidP="00541CF9"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速率</w:t>
                    </w:r>
                  </w:p>
                </w:txbxContent>
              </v:textbox>
            </v:shape>
            <v:shape id="_x0000_s1173" type="#_x0000_t202" style="position:absolute;left:7435;top:6887;width:1848;height:1223">
              <v:textbox style="mso-next-textbox:#_x0000_s1173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</w:t>
                    </w:r>
                    <w:r w:rsidRPr="009744C3">
                      <w:rPr>
                        <w:rFonts w:ascii="Times New Roman" w:eastAsia="標楷體" w:hint="eastAsia"/>
                        <w:sz w:val="22"/>
                      </w:rPr>
                      <w:t>九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形體關係和柱體表面積</w:t>
                    </w:r>
                  </w:p>
                </w:txbxContent>
              </v:textbox>
            </v:shape>
            <v:shape id="_x0000_s1174" type="#_x0000_t202" style="position:absolute;left:9723;top:6927;width:1848;height:1072">
              <v:textbox style="mso-next-textbox:#_x0000_s1174">
                <w:txbxContent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標楷體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sz w:val="22"/>
                      </w:rPr>
                      <w:t>單元十</w:t>
                    </w:r>
                  </w:p>
                  <w:p w:rsidR="00541CF9" w:rsidRPr="009744C3" w:rsidRDefault="00541CF9" w:rsidP="00541CF9">
                    <w:pPr>
                      <w:pStyle w:val="a3"/>
                      <w:spacing w:afterLines="0"/>
                      <w:jc w:val="center"/>
                      <w:rPr>
                        <w:rFonts w:ascii="Times New Roman" w:eastAsia="標楷體"/>
                        <w:sz w:val="22"/>
                      </w:rPr>
                    </w:pPr>
                    <w:r w:rsidRPr="009744C3">
                      <w:rPr>
                        <w:rFonts w:ascii="標楷體" w:eastAsia="標楷體" w:hint="eastAsia"/>
                        <w:color w:val="000000"/>
                        <w:sz w:val="22"/>
                      </w:rPr>
                      <w:t>等量公理</w:t>
                    </w:r>
                  </w:p>
                </w:txbxContent>
              </v:textbox>
            </v:shape>
          </v:group>
        </w:pict>
      </w:r>
    </w:p>
    <w:p w:rsidR="00541CF9" w:rsidRDefault="00541CF9" w:rsidP="00541CF9">
      <w:pPr>
        <w:rPr>
          <w:rFonts w:ascii="新細明體" w:eastAsia="新細明體" w:hAnsi="新細明體"/>
          <w:sz w:val="20"/>
          <w:szCs w:val="20"/>
        </w:rPr>
      </w:pPr>
    </w:p>
    <w:p w:rsidR="00541CF9" w:rsidRDefault="00541CF9" w:rsidP="00541CF9">
      <w:pPr>
        <w:rPr>
          <w:rFonts w:ascii="新細明體" w:eastAsia="新細明體" w:hAnsi="新細明體"/>
          <w:sz w:val="20"/>
          <w:szCs w:val="20"/>
        </w:rPr>
      </w:pPr>
    </w:p>
    <w:p w:rsidR="00541CF9" w:rsidRDefault="00541CF9" w:rsidP="00541CF9">
      <w:pPr>
        <w:rPr>
          <w:rFonts w:ascii="新細明體" w:eastAsia="新細明體" w:hAnsi="新細明體"/>
          <w:sz w:val="20"/>
          <w:szCs w:val="20"/>
        </w:rPr>
      </w:pPr>
    </w:p>
    <w:p w:rsidR="00541CF9" w:rsidRDefault="00541CF9" w:rsidP="00541CF9">
      <w:pPr>
        <w:rPr>
          <w:rFonts w:ascii="新細明體" w:eastAsia="新細明體" w:hAnsi="新細明體"/>
          <w:sz w:val="20"/>
          <w:szCs w:val="20"/>
        </w:rPr>
      </w:pPr>
    </w:p>
    <w:p w:rsidR="00541CF9" w:rsidRPr="00B65012" w:rsidRDefault="00541CF9" w:rsidP="00541CF9">
      <w:pPr>
        <w:rPr>
          <w:rFonts w:ascii="新細明體" w:eastAsia="新細明體" w:hAnsi="新細明體"/>
          <w:sz w:val="20"/>
          <w:szCs w:val="20"/>
        </w:rPr>
      </w:pPr>
    </w:p>
    <w:p w:rsidR="00541CF9" w:rsidRDefault="00541CF9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2486"/>
        <w:gridCol w:w="1486"/>
        <w:gridCol w:w="2340"/>
      </w:tblGrid>
      <w:tr w:rsidR="005E685A" w:rsidRPr="003E11B9" w:rsidTr="001215D2">
        <w:trPr>
          <w:trHeight w:val="370"/>
          <w:tblHeader/>
        </w:trPr>
        <w:tc>
          <w:tcPr>
            <w:tcW w:w="720" w:type="dxa"/>
            <w:vAlign w:val="center"/>
          </w:tcPr>
          <w:p w:rsidR="005E685A" w:rsidRPr="003E11B9" w:rsidRDefault="00541CF9" w:rsidP="001215D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br w:type="page"/>
            </w:r>
            <w:r w:rsidR="005E685A" w:rsidRPr="003E11B9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三</w:t>
            </w:r>
            <w:r w:rsidR="005E685A" w:rsidRPr="003E11B9">
              <w:rPr>
                <w:rFonts w:ascii="標楷體" w:eastAsia="標楷體"/>
              </w:rPr>
              <w:t>)</w:t>
            </w:r>
          </w:p>
        </w:tc>
        <w:tc>
          <w:tcPr>
            <w:tcW w:w="360" w:type="dxa"/>
            <w:vAlign w:val="center"/>
          </w:tcPr>
          <w:p w:rsidR="005E685A" w:rsidRPr="003E11B9" w:rsidRDefault="005E685A" w:rsidP="001215D2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3E11B9">
              <w:rPr>
                <w:rFonts w:ascii="標楷體" w:eastAsia="標楷體" w:hint="eastAsia"/>
              </w:rPr>
              <w:t>六</w:t>
            </w:r>
          </w:p>
        </w:tc>
        <w:tc>
          <w:tcPr>
            <w:tcW w:w="2486" w:type="dxa"/>
            <w:vAlign w:val="center"/>
          </w:tcPr>
          <w:p w:rsidR="005E685A" w:rsidRPr="003E11B9" w:rsidRDefault="005E685A" w:rsidP="001215D2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3E11B9">
              <w:rPr>
                <w:rFonts w:ascii="標楷體" w:eastAsia="標楷體"/>
              </w:rPr>
              <w:t>年級</w:t>
            </w:r>
            <w:r w:rsidRPr="003E11B9">
              <w:rPr>
                <w:rFonts w:ascii="標楷體" w:eastAsia="標楷體" w:hint="eastAsia"/>
              </w:rPr>
              <w:t>上</w:t>
            </w:r>
            <w:r w:rsidRPr="003E11B9">
              <w:rPr>
                <w:rFonts w:ascii="標楷體" w:eastAsia="標楷體"/>
              </w:rPr>
              <w:t>學期九年一貫</w:t>
            </w:r>
          </w:p>
        </w:tc>
        <w:tc>
          <w:tcPr>
            <w:tcW w:w="1486" w:type="dxa"/>
            <w:vAlign w:val="center"/>
          </w:tcPr>
          <w:p w:rsidR="005E685A" w:rsidRPr="003E11B9" w:rsidRDefault="005E685A" w:rsidP="001215D2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3E11B9">
              <w:rPr>
                <w:rFonts w:ascii="Times New Roman" w:eastAsia="標楷體" w:hint="eastAsia"/>
              </w:rPr>
              <w:t>數學</w:t>
            </w:r>
          </w:p>
        </w:tc>
        <w:tc>
          <w:tcPr>
            <w:tcW w:w="2340" w:type="dxa"/>
            <w:vAlign w:val="center"/>
          </w:tcPr>
          <w:p w:rsidR="005E685A" w:rsidRPr="003E11B9" w:rsidRDefault="005E685A" w:rsidP="001215D2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3E11B9">
              <w:rPr>
                <w:rFonts w:ascii="標楷體" w:eastAsia="標楷體"/>
              </w:rPr>
              <w:t>課程各單元內涵分析</w:t>
            </w:r>
          </w:p>
        </w:tc>
      </w:tr>
    </w:tbl>
    <w:p w:rsidR="001C391E" w:rsidRPr="001C391E" w:rsidRDefault="001C391E"/>
    <w:tbl>
      <w:tblPr>
        <w:tblW w:w="151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551"/>
        <w:gridCol w:w="349"/>
        <w:gridCol w:w="349"/>
        <w:gridCol w:w="3308"/>
        <w:gridCol w:w="3128"/>
        <w:gridCol w:w="2393"/>
        <w:gridCol w:w="365"/>
        <w:gridCol w:w="1100"/>
        <w:gridCol w:w="922"/>
        <w:gridCol w:w="1471"/>
        <w:gridCol w:w="922"/>
      </w:tblGrid>
      <w:tr w:rsidR="001337F9" w:rsidRPr="008B5E86" w:rsidTr="001337F9">
        <w:trPr>
          <w:trHeight w:val="640"/>
          <w:tblHeader/>
        </w:trPr>
        <w:tc>
          <w:tcPr>
            <w:tcW w:w="29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起訖週次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起訖</w:t>
            </w:r>
          </w:p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日期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3E11B9" w:rsidRDefault="001337F9" w:rsidP="002B2ACD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0"/>
              </w:rPr>
            </w:pPr>
            <w:r w:rsidRPr="003E11B9">
              <w:rPr>
                <w:rFonts w:ascii="Times New Roman" w:eastAsia="標楷體" w:hint="eastAsia"/>
                <w:sz w:val="20"/>
              </w:rPr>
              <w:t>主題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pacing w:val="-14"/>
                <w:w w:val="90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單元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分段能力指標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學習目標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教學重點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rPr>
                <w:rFonts w:ascii="Times New Roman" w:eastAsia="標楷體"/>
                <w:w w:val="90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節數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教學資源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評量</w:t>
            </w:r>
          </w:p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方法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重大議題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337F9" w:rsidRPr="008B5E86" w:rsidRDefault="001337F9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8B5E86">
              <w:rPr>
                <w:rFonts w:ascii="Times New Roman" w:eastAsia="標楷體" w:hint="eastAsia"/>
                <w:sz w:val="22"/>
              </w:rPr>
              <w:t>十大基本能力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8/27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9/2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1質因數分解和短除法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N-3-04能認識質數、合數，並能用短除法做質因數分解。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N-3-05能認識最大公因數、最小公倍數與兩數互質的意義，並用來將分數化成最簡分數。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6-n-01能認識質數、合數，並用短除法做質因數的分解（質數＜20，質因數＜20，被分解數＜100）。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6-n-02能用短除法求兩數的最大公因數、最小公倍數。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6-n-03能認識兩數互質的意義，並將分數約成最簡分數。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C-R-1、C-T-1、C-T-2、C-S-2、C-S-4、C-S-5、C-C-1、C-C-3、C-C-5、C-C-6、C-C-8、C-E-4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1.能經驗質數和合數。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2.能察覺正整數的質因數，並能做質因數分解。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3.能察覺正整數的最大公因數。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1.能經驗質數和合數的意義。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2.能了解質數和合數的意義。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3.能了解質因數的意義。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4.能將一個數表現成其質因數的連乘積，並加以記錄。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5.能了解質因數分解的意義。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6.能用短除法將一個數做質因數分解。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7.從給定兩數，透過列出所有的公因數來探討互質的意義。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8.了解最大公因數的意義，並能從所有公因數中，找出最大的公因數。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9.能透過乘除計算方法找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出最大公因數。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10.能做質因數分解或短除法找出最大公因數。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表達個人的基本權利，並了解人權與社會責任的關係。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3-2-2學習如何解決問題及做決定。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9/3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9/9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1質因數分解和短除法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N-3-04能認識質數、合數，並能用短除法做質因數分解。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N-3-05能認識最大公因數、最小公倍數與兩數互質的意義，並用來將分數化成最簡分數。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6-n-01能認識質數、合數，並用短除法做質因數的分解（質數＜20，質因數＜20，被分解數＜100）。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6-n-02能用短除法求兩數的最大公因數、最小公倍數。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6-n-03能認識兩數互質的意義，並將分數約成最簡分數。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C-R-1、C-T-1、C-T-2、C-S-2、C-S-4、C-S-5、C-C-1、C-C-3、C-C-5、C-C-6、C-C-8、C-E-4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1.能察覺正整數的最大公因數。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2.能察覺正整數的最小公倍數。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1.應用最大公因數解決日常生活問題。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2.了解最小公倍數的意義，並能從所有公倍數中，找出最小的公倍數。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3.能透過兩數的倍數關係，找出最小公倍數。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4.能透過做質因數分解或短除法找出最小公倍數。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5.應用最小公倍數解決日常生活問題。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表達個人的基本權利，並了解人權與社會責任的關係。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3-2-2學習如何解決問題及做決定。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9/10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計算</w:t>
            </w:r>
          </w:p>
        </w:tc>
        <w:tc>
          <w:tcPr>
            <w:tcW w:w="349" w:type="dxa"/>
            <w:vAlign w:val="center"/>
          </w:tcPr>
          <w:p w:rsidR="00541CF9" w:rsidRPr="004848DC" w:rsidRDefault="00541CF9" w:rsidP="005877E9">
            <w:pPr>
              <w:pStyle w:val="30"/>
              <w:spacing w:line="240" w:lineRule="auto"/>
              <w:ind w:left="20" w:hanging="20"/>
              <w:jc w:val="center"/>
              <w:rPr>
                <w:rFonts w:hAnsi="新細明體"/>
                <w:sz w:val="20"/>
                <w:szCs w:val="20"/>
              </w:rPr>
            </w:pPr>
            <w:r w:rsidRPr="004848DC">
              <w:rPr>
                <w:rFonts w:hAnsi="新細明體" w:hint="eastAsia"/>
                <w:sz w:val="20"/>
                <w:szCs w:val="20"/>
              </w:rPr>
              <w:lastRenderedPageBreak/>
              <w:t>單元</w:t>
            </w:r>
            <w:r w:rsidRPr="004848DC">
              <w:rPr>
                <w:rFonts w:hAnsi="新細明體" w:hint="eastAsia"/>
                <w:sz w:val="20"/>
                <w:szCs w:val="20"/>
              </w:rPr>
              <w:lastRenderedPageBreak/>
              <w:t>2分數的除法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N-3-05能認識最大公因數、最小公倍數與兩數互質的意義，並用來將分數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化成最簡分數。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N-3-10能理解分數（含小數）除法的意義及計算方法，並解決生活中的問題。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6-n-03能認識兩數互質的意義，並將分數約成最簡分數。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6-n-04能理解分數除法的意義及熟練其計算，並解決生活中的問題。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C-R-1、C-T-1、C-T-2、C-S-2、C-S-3、C-S-4、C-S-5、C-C-1、C-C-3、C-C-5、C-C-6、C-C-8、</w:t>
            </w:r>
            <w:r w:rsidRPr="0059504A">
              <w:rPr>
                <w:rFonts w:ascii="新細明體" w:eastAsia="新細明體" w:hAnsi="新細明體"/>
                <w:sz w:val="20"/>
              </w:rPr>
              <w:t>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1.在具體情境中，理解最簡分數的意義。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2.能在具體情境中，解決同分母分數的除法問題。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3.能在具體情境中，解決整數除以分數的問題。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4.能在具體情境中，解決異分母分數的除法問題。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lastRenderedPageBreak/>
              <w:t>1.認識最簡分數的意義是分母與分子互質。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lastRenderedPageBreak/>
              <w:t>2.能透過約分將分數約成最簡分數。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3.能在具體情境中，解決分數除以分數且為同分母的問題。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4.能在具體情境中，解決整數除以分數的問題。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5.能在具體情境中，解決分數除以分數且為異分母的問題。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6.能在具體情境中，解決分數除以整數的問題。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學習兩性</w:t>
            </w:r>
            <w:r w:rsidRPr="0059504A">
              <w:rPr>
                <w:rFonts w:ascii="新細明體" w:eastAsia="新細明體" w:hAnsi="新細明體"/>
                <w:sz w:val="20"/>
              </w:rPr>
              <w:lastRenderedPageBreak/>
              <w:t>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表達個人的基本權利，並了解人權與社會責任的關係。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 w:hint="eastAsia"/>
                <w:sz w:val="20"/>
              </w:rPr>
              <w:t>3-2-2學習如何解決問題及做決定。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一、瞭解自我與發</w:t>
            </w: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9/17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4848DC" w:rsidRDefault="00541CF9" w:rsidP="005877E9">
            <w:pPr>
              <w:pStyle w:val="30"/>
              <w:spacing w:line="240" w:lineRule="auto"/>
              <w:ind w:left="20" w:hanging="20"/>
              <w:jc w:val="center"/>
              <w:rPr>
                <w:rFonts w:hAnsi="新細明體"/>
                <w:sz w:val="20"/>
                <w:szCs w:val="20"/>
              </w:rPr>
            </w:pPr>
            <w:r w:rsidRPr="004848DC">
              <w:rPr>
                <w:rFonts w:hAnsi="新細明體" w:hint="eastAsia"/>
                <w:sz w:val="20"/>
                <w:szCs w:val="20"/>
              </w:rPr>
              <w:t>單元2分數的除法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N-3-05能認識最大公因數、最小公倍數與兩數互質的意義，並用來將分數化成最簡分數。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N-3-10能理解分數（含小數）除法的意義及計算方法，並解決生活中的問題。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6-n-03能認識兩數互質的意義，並將分數約成最簡分數。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6-n-04能理解分數除法的意義及熟練其計算，並解決生活中的問題。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C-R-1、C-T-1、C-T-2、C-S-2、C-S-3、C-S-4、C-S-5、C-C-1、C-C-3、C-C-5、C-C-6、C-C-8、</w:t>
            </w:r>
            <w:r w:rsidRPr="0059504A">
              <w:rPr>
                <w:rFonts w:ascii="新細明體" w:eastAsia="新細明體" w:hAnsi="新細明體"/>
                <w:sz w:val="20"/>
              </w:rPr>
              <w:t>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1.能在具體情境中，解決有餘數的分數除法。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2.能在具體情境中，解決分數除法的應用問題。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3.能察覺分數除法的運算格式。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1.能在具體情境中，解決分數除以分數有餘數的問題。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2.能在日常生活中，解決生活中與分數除法相關的問題。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3.能在具體情境中，理解被除數、除數和商的關係。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表達個人的基本權利，並了解人權與社會責任的關係。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 w:hint="eastAsia"/>
                <w:sz w:val="20"/>
              </w:rPr>
              <w:t>3-2-2學習如何解決問題及做決定。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六、文化學習與國際瞭解。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</w:t>
            </w: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9/24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9/30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3小數的除法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N-3-10能理解分數（含小數）除法的意義及計算方法，並解決生活中的問題。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N-3-11能用直式處理小數的乘除計算（不含循環小數）。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N-3-12能在具體情境中，對某數在指定位數取概數（含四捨五入法），並做加、減、乘、除之估算。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6-n-06能用直式處理小數除法的計算，並解決生活中的問題。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6-n-07能在具體情境中，對整數及小數在指定位數取概數（含四捨五入法），並做加、減、乘、除之估算。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1.能用直式處理整數除以小數有關的除法問題。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2.能用直式處理小數除以小數有關的除法問題。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1.能列出除法算式，解決生活中除數是小數的除法問題。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2.能理解整數除以小數的意義及計算方法。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3.能解決整數除以一位小數的除法問題，並用直式算式記錄解題過程與結果。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4.能解決整數除以二位小數的除法問題，並用直式算式記錄解題過程與結果。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5.能解決小數除以小數，商是整數的除法問題，並用直式算式記錄解題過程與結果。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6.能解決小數除以小數，商是小數的除法問題，並用直式算式記錄解題過程與結果。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7.能解決除數是小數，商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求到個位有餘數的除法問題。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8.能用「除數×商；餘數、被除數」來驗算，並檢驗對小數除法的餘數理解。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表達個人的基本權利，並了解人權與社會責任的關係。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10/1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3小數的除法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N-3-10能理解分數（含小數）除法的意義及計算方法，並解決生活中的問題。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N-3-11能用直式處理小數的乘除計算（不含循環小數）。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N-3-12能在具體情境中，對某數在指定位數取概數（含四捨五入法），並做加、減、乘、除之估算。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6-n-06能用直式處理小數除法的計算，並解決生活中的問題。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6-n-07能在具體情境中，對整數及小數在指定位數取概數（含四捨五入法），並做加、減、乘、除之估算。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1.能解決生活中與小數除法有關的除法問題。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2.能了解小數除法中，被除數、除數和商之間的除法問題。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3.能熟練四捨五入法對小數在指定位數取概數。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4.能熟練除數是小數，用四捨五入法求商到小數指定位數。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1.能用已知量、倍數、總量的關係，解決生活中小數除法問題。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2.能用已知的部分量求總量，解決生活中小數除法問題。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3.能瞭解除數小於1，所得的商大於被除數的小數除法問題。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4.能瞭解除數等於1，所得的商等於被除數的小數除法問題。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5.能瞭解除數大於1，所得的商小於被除數的小數除法問題。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6.透過除數與1之間的比較，能立即判斷商和被除數的大小關係。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7.能熟練四捨五入法對小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數在個位取概數。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8.能熟練四捨五入法對小數在小數第一位取概數。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9.能熟練四捨五入法對小數在小數第二位取概數。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10.能熟練除數是小數，用四捨五入法求商到個位取概數。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11.能熟練除數是小數，用四捨五入法求商到小數第一位取概數。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12.能熟練除數是小數，用四捨五入法求商到小數第二位取概數。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</w:rPr>
              <w:t>表達個人的基本權利，並了解人權與社會責任的關係。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10/8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pStyle w:val="af0"/>
              <w:contextualSpacing/>
              <w:rPr>
                <w:rFonts w:ascii="新細明體" w:hAnsi="新細明體"/>
                <w:sz w:val="20"/>
                <w:szCs w:val="20"/>
              </w:rPr>
            </w:pPr>
            <w:r w:rsidRPr="0059504A">
              <w:rPr>
                <w:rFonts w:ascii="新細明體" w:hAnsi="新細明體" w:hint="eastAsia"/>
                <w:sz w:val="20"/>
                <w:szCs w:val="20"/>
              </w:rPr>
              <w:t>單元4</w:t>
            </w:r>
          </w:p>
          <w:p w:rsidR="00541CF9" w:rsidRPr="0059504A" w:rsidRDefault="00541CF9" w:rsidP="005877E9">
            <w:pPr>
              <w:contextualSpacing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比、比值和正比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N-3-15能認識比、比值與正比的意義，並解決生活中的問題。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6-n-09能認識比和比值，並解決生活中的問題。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6-n-10能理解正比的意義，並解決生活中的問題。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C-R-1、C-R-2、C-R-4、C-T-1、C-T-2、C-T-4、C-S-2、C-S-4、C-S-5、C-C-1、C-C-3、C-C-5、C-C-6、C-C-8、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C-E-1、C-E-2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1.認識比的意義與表示法。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2.認識比值的意義和除法的關係。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3.了解比的相等關係。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4.認識最簡單整數比。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1.在生活情境中，認識比的意義。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2.在生活情境中，認識比的記法以及前項、後項。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3.在生活情境中，認識比值與除法的關係。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4.在生活情境中，認識比值的意義。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5.能藉由比值相等，理解相等的比並能用等號記錄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相等的比。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6.能藉由等值分數，認識相等的比。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7.能藉由相等的比中，前項與後項互質，認識最簡單整數比。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8.能將整數的比化為最簡單整數比。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9.能將小數的比化為最簡單整數比。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10.能將分數的比化為最簡單整數比。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</w:t>
            </w: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達、溝通與分享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10/15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pStyle w:val="af0"/>
              <w:contextualSpacing/>
              <w:rPr>
                <w:rFonts w:ascii="新細明體" w:hAnsi="新細明體"/>
                <w:sz w:val="20"/>
                <w:szCs w:val="20"/>
              </w:rPr>
            </w:pPr>
            <w:r w:rsidRPr="0059504A">
              <w:rPr>
                <w:rFonts w:ascii="新細明體" w:hAnsi="新細明體" w:hint="eastAsia"/>
                <w:sz w:val="20"/>
                <w:szCs w:val="20"/>
              </w:rPr>
              <w:t>單元4</w:t>
            </w:r>
          </w:p>
          <w:p w:rsidR="00541CF9" w:rsidRPr="0059504A" w:rsidRDefault="00541CF9" w:rsidP="005877E9">
            <w:pPr>
              <w:contextualSpacing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比、比值和正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比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N-3-15能認識比、比值與正比的意義，並解決生活中的問題。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6-n-09能認識比和比值，並解決生活中的問題。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6-n-10能理解正比的意義，並解決生活中的問題。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C-R-1、C-R-2、C-R-4、C-T-1、C-T-2、C-T-4、C-S-2、C-S-4、C-S-5、C-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C-1、C-C-3、C-C-5、C-C-6、C-C-8、C-E-1、C-E-2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1.認識兩個數量成正比的關係。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6.會繪製正比的關係圖。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7.應用比和比值解決有關的問題。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8.能理解正比的現象，並發展正比的概念，解決生活中的問題。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能透過生活實例，察覺兩數量變化關係，進而認識正比的意義。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2.能透過生活實例中兩數量的對應表，了解正比的意義。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3.能透過生活實例中兩數量的對應表，了解正比例與非正比例的關係。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4.能將生活實例中兩正比例關係的數量對應表，繪製成圖。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5.能用相等的比解決生活中有關的問題。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6.能應用比率解決總量與部分量的問題。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7.能在正比的情境中，透過列表方式認識變數。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8.能在具體情境中，應用正比例關係解決生活中的問題。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學習兩性間的互動與合作。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四、表達、溝通與分享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10/22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單元5圓周率和圓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面積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N-3-23能理解圓面積與圓周長的公式，並計算簡單扇形面積。（同S-3-07）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A-3-06能用符號表示簡單的常用公式。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6-n-14能理解圓面積與圓周長的公式，並計算簡單扇形的面積。(同6-s-03)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6-a-03能用符號表示常用的公式。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C-R-1、C-T-1、C-T-2、C-T-3、C-S-1、C-S-2、C-S-4、C-S-5、C-C-3、C-C-4、C-C-5、C-C-6、C-C-8、C-E-1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1.能理解圓周率的意義、求法。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2.能用圓周率求出圓周長或直徑。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3.能理解求圓面積的方法和公式，並加以運用。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1.能實際測出圓的直徑及圓周的長度。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2.能理解不論圓的大小如何，圓周長和直徑的比值不變。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3.能理解不論圓的大小如何，圓周長大約是直徑的3.14倍。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4.能理解以直徑為基準時，圓周長和直徑的比值就是圓周率。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5.能理解圓周長÷直徑＝圓周率。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6.能利用圓周率，由已知圓的直徑（或半徑）求出圓周長。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7.能利用圓周率，由已知圓周長求出直徑（或半徑）。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8.能用點算方格的方法，估測不規則面積。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9.能用點算方格的方法，估測圓的面積。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</w:t>
            </w:r>
            <w:r w:rsidRPr="0059504A">
              <w:rPr>
                <w:rFonts w:ascii="新細明體" w:eastAsia="新細明體" w:hAnsi="新細明體"/>
                <w:sz w:val="20"/>
              </w:rPr>
              <w:t>互動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表達個人的基本權利，並了解人權與社會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</w:t>
            </w: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身學習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10/29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11/4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數與計算、數與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評量週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單元5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圓周率和圓面積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加油小站一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N-3-23能理解圓面積與圓周長的公式，並計算簡單扇形面積。（同S-3-07）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A-3-06能用符號表示簡單的常用公式。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6-n-14能理解圓面積與圓周長的公式，並計算簡單扇形的面積。(同6-s-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03)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6-a-03能用符號表示常用的公式。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C-R-1、C-T-1、C-T-2、C-T-3、C-S-1、C-S-2、C-S-4、C-S-5、C-C-3、C-C-4、C-C-5、C-C-6、C-C-8、C-E-1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1.能理解求圓面積的方法和公式，並加以運用。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2.複習單元1～單元5。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1.能將圓切割成若干（偶數）等分的扇形，拼成近似平行四邊形或長方形的形狀，再藉由平行四邊形或長方形的面積公式，推出圓面積公式。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2.能理解圓面積公式＝半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徑×半徑×圓周率。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3.能利用已知圓的直徑（或半徑）求出圓面積。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4.能應用圓面積公式，算出複合式圖形的面積。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5.能利用圓面積公式解決生活上的相關問題。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加油小站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1.能解決除數為小數的除法問題，並進行直式計算。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2.能理解除數為分數的意義及其計算方法，並解決生活中的問題。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3.能認識質數的意義，並應用於生活中發現的問題。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4.能發現海拔高度增加量和氣溫降低量的正比關係，並解決相關問題。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5.能認識比值，並解決生活上的問題。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2-3-2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學習兩性間的</w:t>
            </w:r>
            <w:r w:rsidRPr="0059504A">
              <w:rPr>
                <w:rFonts w:ascii="新細明體" w:eastAsia="新細明體" w:hAnsi="新細明體"/>
                <w:sz w:val="20"/>
              </w:rPr>
              <w:t>互動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與合作。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9504A">
                <w:rPr>
                  <w:rFonts w:ascii="新細明體" w:eastAsia="新細明體" w:hAnsi="新細明體"/>
                  <w:sz w:val="20"/>
                  <w:szCs w:val="20"/>
                </w:rPr>
                <w:t>1-3-1</w:t>
              </w:r>
            </w:smartTag>
            <w:r w:rsidRPr="0059504A">
              <w:rPr>
                <w:rFonts w:ascii="新細明體" w:eastAsia="新細明體" w:hAnsi="新細明體"/>
                <w:sz w:val="20"/>
                <w:szCs w:val="20"/>
              </w:rPr>
              <w:t>表達個人的基本權利，並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了解人權與社會責任的關係。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</w:t>
            </w: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lastRenderedPageBreak/>
              <w:t>規劃與終身學習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11/5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單元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6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扇形面積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N-3-23能理解圓面積與圓周長的公式，並計算簡單扇形面積。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S-3-01能利用幾何形體的性質解決簡單的幾何問題。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S-3-07能理解圓面積與圓周長的公式，並計算簡單扇形面積。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6-n-14能理解圓面積與圓周長的公式，並計算簡單扇形的面積。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6-s-01能利用幾何形體的性質解決簡單的幾何問題。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6-s-03能理解圓面積與圓周長的公式，並計算簡單扇形的面積。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1.理解扇形面積的求法及其運用。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1.運用圓周長的公式，求出扇形弧長和周長。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2.運用圓面積的公式，求出扇形面積。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3.運用扇形面積的求法，求出圖形面積。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◎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表達個人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九、主動探索與研究。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11/12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11/18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單元6扇形面積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N-3-23能理解圓面積與圓周長的公式，並計算簡單扇形面積。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S-3-01能利用幾何形體的性質解決簡單的幾何問題。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S-3-07能理解圓面積與圓周長的公式，並計算簡單扇形面積。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6-n-14能理解圓面積與圓周長的公式，並計算簡單扇形的面積。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6-s-01能利用幾何形體的性質解決簡單的幾何問題。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6-s-03能理解圓面積與圓周長的公式，並計算簡單扇形的面積。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1.理解複合圖形面積的求法。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1.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能計算複合或重疊圖形的面積。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表達個人的基本權利，並瞭解人權與社會責任的關係。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生涯發展教育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九、主動探索與研究。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十、獨立思考與解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11/19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11/25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單元7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估算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N-3-12能在具體情境中，對某數在指定位數取概數（含四捨五入法），並做加、減、乘、除之估算。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6-n-07能在具體情境中，對整數及小數在指定位數取概數（含四捨五入法），並做加、減、乘、除之估算。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C-R-1、C-R-2、C-R-4、C-T-1、C-T-2、C-S-1、C-S-2、C-S-4、C-S-5、C-C-1、C-C-3、C-C-6、C-C-8、C-E-2、C-E-4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1.能熟練四捨五入法取概數，做整數的乘、除法估算。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1.能熟練四捨五入法取概數，做整數的乘法估算。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2.能熟練四捨五入法取概數，做整數的除法估算。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學習在性別互動中，展現自我的特色。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家政教育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3-3-5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運用消費知能選購合適的物品。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11/26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12/2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單元7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估算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N-3-12能在具體情境中，對某數在指定位數取概數（含四捨五入法），並做加、減、乘、除之估算。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6-n-07能在具體情境中，對整數及小數在指定位數取概數（含四捨五入法），並做加、減、乘、除之估算。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C-R-1、C-R-2、C-R-4、C-T-1、C-T-2、C-S-1、C-S-2、C-S-4、C-S-5、C-C-1、C-C-3、C-C-6、C-C-8、C-E-2、C-E-4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1.能熟練四捨五入法取概數，做小數的加、減法估算。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2.能熟練四捨五入法取概數，做小數的乘、除法估算。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1.能熟練四捨五入法取概數，做小數的加法估算。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2.能熟練四捨五入法取概數，做小數的減法估算。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3.能熟練四捨五入法取概數，做小數的乘法估算。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4.能熟練四捨五入法取概數，做小數的除法估算。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學習在性別互動中，展現自我的特色。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家政教育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3-3-5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運用消費知能選購合適的物品。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十五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12/3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單元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8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速率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N-3-16能認識導出單位並做簡單的應用。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N-3-17能理解速度的概念與應用，認識速度的常用單位及換算，並處理相關的計算問題。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6-n-11能理解常用導出量單位的記法，並解決生活中的問題。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6-n-12能認識速度的意義及其常用單位。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6-n-13能利用常用的數量關係，列出恰當的算式，進行解題，並檢驗解的合理性。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C-R-1、C-R-2、C-T-1、C-T-2、C-T-4、C-S-1、C-S-2、C-S-5、C-C-1、C-C-3、C-C-5、C-C-6、C-C-8、C-E-1、C-E-4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1.能用小數、分數進行秒、分、時的換算。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2.能理解速率的意義及其直接、間接比較。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3.能理解速率的公式以及速率的普遍單位。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4.能利用速率相關的數量關係，列出恰當的算式，進行解題，並檢驗解的合理性。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5.能理解速率導出單位的記法，並解決生活中的問題。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1.能做分和秒二階單位的小數、分數換算。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2.能用小數、分數記錄時間，解決有關的問題。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3.能做時和分二階單位的分數換算。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4.能理解「距離一定時，使用的時間越短，速率越快」。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5.能理解「時間一定時，移動的距離越遠，速率越快」。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6.能用平均速率的概念描述一個物體運動的狀態。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7.從活動中理解秒速、分速和時速的意義及單位。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8.能理解秒速、分速導出單位，並以單位角度來分析問題。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9.能理解速率的公式：速率＝距離÷時間，並應用於解題。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10.能理解時速導出單位，並以單位角度來分析問題。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11.能透過探索與觀察，察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覺「當速率固定時，距離與時間成正比」，並列出恰當的算式。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lastRenderedPageBreak/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別互動中，展現自我的特色。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七、規劃、組織與實踐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12/10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單元8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速率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N-3-16能認識導出單位並做簡單的應用。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N-3-17能理解速度的概念與應用，認識速度的常用單位及換算，並處理相關的計算問題。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6-n-11能理解常用導出量單位的記法，並解決生活中的問題。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6-n-12能認識速度的意義及其常用單位。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6-n-13能利用常用的數量關係，列出恰當的算式，進行解題，並檢驗解的合理性。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C-R-1、C-R-2、C-T-1、C-T-2、C-T-4、C-S-1、C-S-2、C-S-5、C-C-1、C-C-3、C-C-5、C-C-6、C-C-8、C-E-1、C-E-4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1.能理解速率的公式以及速率的普遍單位。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2.能利用速率相關的數量關係，列出恰當的算式，進行解題，並檢驗解的合理性。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1.從活動中理解秒速、分速和時速的意義及單位。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2.能做秒速、分速、時速的換算，並應用在生活上。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3.能利用數量關係，進行速率相關的解題，並檢驗解的合理性。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學習在性別互動中，展現自我的特色。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六、文化學習與國際瞭解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七、規劃、組織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與實踐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12/17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圖形與空間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  <w:r w:rsidRPr="0059504A">
              <w:rPr>
                <w:rFonts w:ascii="新細明體" w:eastAsia="新細明體" w:hAnsi="新細明體" w:cs="Arial Unicode MS"/>
                <w:sz w:val="20"/>
                <w:szCs w:val="20"/>
              </w:rPr>
              <w:t>9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形體關係和柱</w:t>
            </w:r>
            <w:r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體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表面積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S-3-01能利用幾何形體的性質解決簡單的幾何問題。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S-3-08能認識面的平行與垂直，線與面的垂直。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6-s-01能利用幾何形體的性質解決簡單的幾何問題。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C-R-1、C-T-1、C-T-2、C-T-3、C-T-4、C-S-1、C-S-2、C-S-3、C-C-1、C-C-5、C-C-6、C-E-4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1.理解長方體和正方體中，邊和邊的關係。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2.理解長方體和正方體中，面和面的關係。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1.能透過觀察與操作，了解長方體和正方體中，邊和邊的垂直關係。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2.能透過觀察與操作，了解長方體和正方體中，邊和邊的平行關係。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3.能透過觀察與操作，了解長方體和正方體中，面和面的垂直關係。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4.能透過觀察與操作，了解長方體和正方體中，線和面的垂直關係。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資訊教育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3-4-5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能針對問題提出可行的解決方法。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2-1-2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12/24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圖形與空間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</w:t>
            </w:r>
            <w:r w:rsidRPr="0059504A">
              <w:rPr>
                <w:rFonts w:ascii="新細明體" w:eastAsia="新細明體" w:hAnsi="新細明體" w:cs="Arial Unicode MS"/>
                <w:sz w:val="20"/>
                <w:szCs w:val="20"/>
              </w:rPr>
              <w:t>9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形體關係和柱</w:t>
            </w:r>
            <w:r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體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表面積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S-3-01能利用幾何形體的性質解決簡單的幾何問題。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S-3-08能認識面的平行與垂直，線與面的垂直。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6-s-01能利用幾何形體的性質解決簡單的幾何問題。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C-R-1、C-T-1、C-T-2、C-T-3、C-T-4、C-S-1、C-S-2、C-S-3、C-C-1、C-C-5、C-C-6、C-E-4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1.理解長方體和正方體中，面和面的關係。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2.理解柱體和錐體中，面和面的關係。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4.了解柱體表面積的求法。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1.能透過觀察與操作，了解長方體和正方體中，面和面的平行關係。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2.能透過觀察與操作，了解角柱面與面的垂直關係。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3.能透過觀察與操作，了解角錐的側面和底面沒有垂直。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4.了解四角柱有2個相等的底面和4個長方形的側面，利用面積公式算出四角柱的表面積。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5.了解三角柱有2個相等的底面和3個長方形的側面，利用面積公式算出三角柱的表面積。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6.了解圓柱展開後，有2個相等的底面和1個長方形的側面，利用面積公式算出圓柱的表面積。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資訊教育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3-4-5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能針對問題提出可行的解決方法。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2-1-2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一、瞭解自我與發展潛能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二、欣賞、表現與創新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十九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12/31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1/6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代數、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單元1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等量公理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A-3-02能由生活中常用的數量關係，運用於理解問題，並解決問題。（同N-3-18）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A-3-03能認識等量公理。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A-3-04能用含未知數符號的算式表徵具體情境之單步驟問題，並解釋算式與情境的關係。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A-3-05能解決用未知數列式之單步驟問題。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6-a-01能理解等量公理。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6-a-02能將分數單步驟的具體情境問題列成含有未知數符號的算式，並求解及驗算。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6-a-04能利用常用的數量關係，列出恰當的算式，進行解題，並檢驗解的合理性。（同6-n-13）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C-R-1、C-R-2、C-T-1、C-T-2、C-S-1、C-S-2、C-S-4、C-S-5、C-C-1、C-C-3、C-C-5、C-C-6、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C-C-8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1.認識等式。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2.認識等量公理。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1.在具體情境中了解等式的意義。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2.能理解等式左右同加一</w:t>
            </w: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數時，等式仍然成立。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3.能理解等式左右同減一數時，等式仍然成立。</w:t>
            </w:r>
          </w:p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4.能理解等式左右同乘一數時，等式仍然成立。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5.能理解等式左右同除一數（0除外）時，等式仍然成立。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lastRenderedPageBreak/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學習在性別互動中，展現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2-3-4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尊重不同性別者在溝通過程中有平等表達的權利。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四、表達、溝通與分享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1/7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1/13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數與量、圖形與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空間、代數、數與計算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評量週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單元10</w:t>
            </w: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等量公理</w:t>
            </w: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加油小站二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A-3-02能由生活中常用的數量關係，運用於理解問題，並解決問題。（同N-3-18）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A-3-03能認識等量公理。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A-3-04能用含未知數符號的算式表徵具體情境之單步驟問題，並解釋算式與情境的關係。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A-3-05能解決用未知數列式之單步驟問題。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6-a-01能理解等量公理。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6-a-02能將分數單步驟的具體情境問題列成含有未知數符號的算式，並求解及驗算。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</w:rPr>
              <w:t>6-a-04能利用常用的數量關係，列出恰當的算式，進行解題，並檢驗解的合理性。（同6-n-13）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連結：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C-R-1、C-R-2、C-T-1、C-T-2、C-S-1、C-S-2、C-S-4、C-S-5、C-C-1、C-C-3、C-C-5、C-C-6、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t>C-C-8</w:t>
            </w:r>
          </w:p>
        </w:tc>
        <w:tc>
          <w:tcPr>
            <w:tcW w:w="3128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1.能解決含未知數的兩步驟算式題。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2.複習單元6～單元10。</w:t>
            </w:r>
          </w:p>
        </w:tc>
        <w:tc>
          <w:tcPr>
            <w:tcW w:w="2393" w:type="dxa"/>
          </w:tcPr>
          <w:p w:rsidR="00541CF9" w:rsidRPr="0059504A" w:rsidRDefault="00541CF9" w:rsidP="005877E9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1.能將情境問題用□或x、y……列成兩步驟的算式題。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2.能解決含未知數的算式題並驗算答案的合理性。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加油小站二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1.能認識速度的普遍單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位，並進行換算。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2.能利用等量公理的概念解決天平秤物的問題。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3.能計算指定圓心角的扇形面積。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4.能製作符合黃金比值的紙扇。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5.能算出柱體的表面積。</w:t>
            </w: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</w:rPr>
            </w:pPr>
            <w:r w:rsidRPr="0059504A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南一電子書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觀察評量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操作評量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實作評量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口頭評量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br/>
              <w:t>發表評量</w:t>
            </w:r>
          </w:p>
        </w:tc>
        <w:tc>
          <w:tcPr>
            <w:tcW w:w="1471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/>
                <w:sz w:val="20"/>
              </w:rPr>
              <w:t>性別平等教育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2-3-2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學習在性別互動中，展現自我的特色。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2-3-4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尊重不同性別者在溝通過程中有平等表達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lastRenderedPageBreak/>
              <w:t>的權利。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 w:cs="新細明體" w:hint="eastAsia"/>
                <w:sz w:val="20"/>
              </w:rPr>
              <w:t>◎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人權教育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</w:rPr>
            </w:pPr>
            <w:r w:rsidRPr="0059504A">
              <w:rPr>
                <w:rFonts w:ascii="新細明體" w:eastAsia="新細明體" w:hAnsi="新細明體"/>
                <w:sz w:val="20"/>
              </w:rPr>
              <w:t>1-3-1</w:t>
            </w:r>
            <w:r w:rsidRPr="0059504A">
              <w:rPr>
                <w:rFonts w:ascii="新細明體" w:eastAsia="新細明體" w:hAnsi="新細明體" w:hint="eastAsia"/>
                <w:sz w:val="20"/>
              </w:rPr>
              <w:t>表達個人的基本權利，並瞭解人權與社會責任的關係。</w:t>
            </w: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一、瞭解自我與發展潛能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三、生涯規劃與終身學習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四、表</w:t>
            </w:r>
            <w:r w:rsidRPr="0059504A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達、溝通與分享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五、尊重、關懷與團隊合作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九、主動探索與研究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41CF9" w:rsidRPr="0059504A" w:rsidRDefault="00541CF9" w:rsidP="005877E9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/>
                <w:sz w:val="20"/>
                <w:szCs w:val="20"/>
              </w:rPr>
              <w:t>十、獨立思考與解決問題</w:t>
            </w: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41CF9" w:rsidRPr="008B5E86" w:rsidTr="001337F9">
        <w:trPr>
          <w:trHeight w:val="624"/>
        </w:trPr>
        <w:tc>
          <w:tcPr>
            <w:tcW w:w="292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551" w:type="dxa"/>
            <w:vAlign w:val="center"/>
          </w:tcPr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 w:rsidRPr="007F7B5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14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541CF9" w:rsidRPr="007F7B55" w:rsidRDefault="00541CF9" w:rsidP="005877E9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 w:rsidRPr="007F7B5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7F7B55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休業式</w:t>
            </w:r>
          </w:p>
        </w:tc>
        <w:tc>
          <w:tcPr>
            <w:tcW w:w="349" w:type="dxa"/>
            <w:vAlign w:val="center"/>
          </w:tcPr>
          <w:p w:rsidR="00541CF9" w:rsidRPr="0059504A" w:rsidRDefault="00541CF9" w:rsidP="005877E9">
            <w:pPr>
              <w:snapToGri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59504A">
              <w:rPr>
                <w:rFonts w:ascii="新細明體" w:eastAsia="新細明體" w:hAnsi="新細明體" w:hint="eastAsia"/>
                <w:sz w:val="20"/>
                <w:szCs w:val="20"/>
              </w:rPr>
              <w:t>休業式</w:t>
            </w:r>
          </w:p>
        </w:tc>
        <w:tc>
          <w:tcPr>
            <w:tcW w:w="3308" w:type="dxa"/>
          </w:tcPr>
          <w:p w:rsidR="00541CF9" w:rsidRPr="0059504A" w:rsidRDefault="00541CF9" w:rsidP="005877E9">
            <w:pPr>
              <w:spacing w:line="240" w:lineRule="exact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3128" w:type="dxa"/>
          </w:tcPr>
          <w:p w:rsidR="00541CF9" w:rsidRPr="0059504A" w:rsidRDefault="00541CF9" w:rsidP="005877E9">
            <w:pPr>
              <w:spacing w:line="240" w:lineRule="exact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2393" w:type="dxa"/>
          </w:tcPr>
          <w:p w:rsidR="00541CF9" w:rsidRPr="0059504A" w:rsidRDefault="00541CF9" w:rsidP="005877E9">
            <w:pPr>
              <w:spacing w:line="240" w:lineRule="exact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541CF9" w:rsidRPr="0059504A" w:rsidRDefault="00541CF9" w:rsidP="005877E9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100" w:type="dxa"/>
          </w:tcPr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471" w:type="dxa"/>
          </w:tcPr>
          <w:p w:rsidR="00541CF9" w:rsidRPr="0059504A" w:rsidRDefault="00541CF9" w:rsidP="005877E9">
            <w:pPr>
              <w:spacing w:line="240" w:lineRule="exact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22" w:type="dxa"/>
          </w:tcPr>
          <w:p w:rsidR="00541CF9" w:rsidRPr="0059504A" w:rsidRDefault="00541CF9" w:rsidP="005877E9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</w:tbl>
    <w:p w:rsidR="004410C5" w:rsidRDefault="004410C5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p w:rsidR="007F3521" w:rsidRDefault="007F3521">
      <w:pPr>
        <w:ind w:left="312" w:hanging="312"/>
        <w:rPr>
          <w:rFonts w:ascii="Times New Roman" w:eastAsia="新細明體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35"/>
        <w:gridCol w:w="1035"/>
        <w:gridCol w:w="3000"/>
        <w:gridCol w:w="2073"/>
      </w:tblGrid>
      <w:tr w:rsidR="007F3521" w:rsidRPr="00BB76B9" w:rsidTr="009E1E01">
        <w:trPr>
          <w:cantSplit/>
          <w:trHeight w:val="370"/>
          <w:tblHeader/>
          <w:jc w:val="center"/>
        </w:trPr>
        <w:tc>
          <w:tcPr>
            <w:tcW w:w="2605" w:type="pct"/>
            <w:vAlign w:val="center"/>
          </w:tcPr>
          <w:p w:rsidR="007F3521" w:rsidRPr="00BB76B9" w:rsidRDefault="007F3521" w:rsidP="009E1E01">
            <w:pPr>
              <w:wordWrap w:val="0"/>
              <w:snapToGrid w:val="0"/>
              <w:spacing w:line="240" w:lineRule="atLeast"/>
              <w:ind w:firstLineChars="300" w:firstLine="840"/>
              <w:rPr>
                <w:rFonts w:ascii="標楷體" w:eastAsia="標楷體"/>
                <w:sz w:val="28"/>
              </w:rPr>
            </w:pPr>
            <w:r w:rsidRPr="00BB76B9">
              <w:rPr>
                <w:rFonts w:ascii="標楷體" w:eastAsia="標楷體"/>
                <w:sz w:val="28"/>
              </w:rPr>
              <w:br w:type="page"/>
            </w:r>
            <w:r w:rsidR="007F23E4">
              <w:rPr>
                <w:rFonts w:ascii="標楷體" w:eastAsia="標楷體" w:hint="eastAsia"/>
                <w:sz w:val="28"/>
              </w:rPr>
              <w:t xml:space="preserve">東芳 </w:t>
            </w:r>
            <w:r w:rsidRPr="00BB76B9">
              <w:rPr>
                <w:rFonts w:ascii="標楷體" w:eastAsia="標楷體" w:hint="eastAsia"/>
                <w:sz w:val="28"/>
              </w:rPr>
              <w:t>國民小學一○</w:t>
            </w:r>
            <w:r w:rsidR="00060FC9">
              <w:rPr>
                <w:rFonts w:ascii="標楷體" w:eastAsia="標楷體" w:hint="eastAsia"/>
                <w:sz w:val="28"/>
              </w:rPr>
              <w:t>七</w:t>
            </w:r>
            <w:bookmarkStart w:id="0" w:name="_GoBack"/>
            <w:bookmarkEnd w:id="0"/>
            <w:r w:rsidRPr="00BB76B9">
              <w:rPr>
                <w:rFonts w:ascii="標楷體" w:eastAsia="標楷體" w:hint="eastAsia"/>
                <w:sz w:val="28"/>
              </w:rPr>
              <w:t>學年度下學期</w:t>
            </w:r>
          </w:p>
        </w:tc>
        <w:tc>
          <w:tcPr>
            <w:tcW w:w="347" w:type="pct"/>
            <w:vAlign w:val="center"/>
          </w:tcPr>
          <w:p w:rsidR="007F3521" w:rsidRPr="00BB76B9" w:rsidRDefault="007F3521" w:rsidP="009E1E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BB76B9">
              <w:rPr>
                <w:rFonts w:ascii="標楷體" w:eastAsia="標楷體" w:hint="eastAsia"/>
                <w:sz w:val="28"/>
              </w:rPr>
              <w:t>六</w:t>
            </w:r>
          </w:p>
        </w:tc>
        <w:tc>
          <w:tcPr>
            <w:tcW w:w="347" w:type="pct"/>
            <w:vAlign w:val="center"/>
          </w:tcPr>
          <w:p w:rsidR="007F3521" w:rsidRPr="00BB76B9" w:rsidRDefault="007F3521" w:rsidP="009E1E01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BB76B9"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1006" w:type="pct"/>
            <w:vAlign w:val="center"/>
          </w:tcPr>
          <w:p w:rsidR="007F3521" w:rsidRPr="00BB76B9" w:rsidRDefault="007F3521" w:rsidP="009E1E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BB76B9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695" w:type="pct"/>
            <w:vAlign w:val="center"/>
          </w:tcPr>
          <w:p w:rsidR="007F3521" w:rsidRPr="00BB76B9" w:rsidRDefault="007F3521" w:rsidP="009E1E01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BB76B9">
              <w:rPr>
                <w:rFonts w:ascii="標楷體" w:eastAsia="標楷體" w:hint="eastAsia"/>
                <w:sz w:val="28"/>
              </w:rPr>
              <w:t>課程計畫</w:t>
            </w:r>
          </w:p>
        </w:tc>
      </w:tr>
    </w:tbl>
    <w:p w:rsidR="007F3521" w:rsidRPr="002D0BED" w:rsidRDefault="007F3521" w:rsidP="007F3521">
      <w:pPr>
        <w:rPr>
          <w:rFonts w:ascii="新細明體" w:eastAsia="新細明體" w:hAnsi="新細明體"/>
          <w:sz w:val="24"/>
          <w:szCs w:val="20"/>
        </w:rPr>
      </w:pPr>
      <w:r w:rsidRPr="002D0BED">
        <w:rPr>
          <w:rFonts w:ascii="新細明體" w:eastAsia="新細明體" w:hAnsi="新細明體" w:hint="eastAsia"/>
          <w:sz w:val="24"/>
          <w:szCs w:val="20"/>
        </w:rPr>
        <w:t>（一）六</w:t>
      </w:r>
      <w:r w:rsidRPr="002D0BED">
        <w:rPr>
          <w:rFonts w:ascii="新細明體" w:eastAsia="新細明體" w:hAnsi="新細明體"/>
          <w:sz w:val="24"/>
          <w:szCs w:val="20"/>
        </w:rPr>
        <w:t>年級</w:t>
      </w:r>
      <w:r w:rsidRPr="002D0BED">
        <w:rPr>
          <w:rFonts w:ascii="新細明體" w:eastAsia="新細明體" w:hAnsi="新細明體" w:hint="eastAsia"/>
          <w:sz w:val="24"/>
          <w:szCs w:val="20"/>
        </w:rPr>
        <w:t>下</w:t>
      </w:r>
      <w:r w:rsidRPr="002D0BED">
        <w:rPr>
          <w:rFonts w:ascii="新細明體" w:eastAsia="新細明體" w:hAnsi="新細明體"/>
          <w:sz w:val="24"/>
          <w:szCs w:val="20"/>
        </w:rPr>
        <w:t>學期之學習目標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了解柱體體積的求法。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了解柱體體積公式的應用。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能依問題情境先簡化問題，再回到原問題進行解題。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能發現數字和圖形的規律，並應用列表找規律解題。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能在具體情境中理解基準量、比較量和比值，並運用畫線段圖的方法解題。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能理解給定的題目，列出算式解題。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認識縮圖和放大圖。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了解平面圖形放大、縮小對長度、角度和面積的影響。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會繪製縮圖和放大圖。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認識比例尺。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能在具體情境中，解決分數的加減運算問題。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能在具體情境中，解決分數的連乘、連除、加減或乘除運算問題。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能在具體情境中，解決分數四則運算問題。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能在具體情境中，解決小數的加減運算問題。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能在具體情境中，解決小數的連乘、連除、加減或乘除運算問題。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能在具體情境中，解決小數四則運算問題。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能在具體情境中，解決分數和小數的多步驟四則運算問題。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能理解給定的題目，並透過數量關係解題。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能理解給定的題目，並運用列表找規律的方法解題。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能整理生活中的資料，繪製成長條圖。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能整理生活中的有序資料，繪製成折線圖。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能認識圓形圖。</w:t>
      </w:r>
    </w:p>
    <w:p w:rsidR="007F3521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能整理生活中的資料，繪製成圓形圖。</w:t>
      </w:r>
    </w:p>
    <w:p w:rsidR="007F3521" w:rsidRPr="002D0BED" w:rsidRDefault="007F3521" w:rsidP="007F3521">
      <w:pPr>
        <w:pStyle w:val="a3"/>
        <w:numPr>
          <w:ilvl w:val="0"/>
          <w:numId w:val="7"/>
        </w:numPr>
        <w:spacing w:afterLines="0" w:after="0"/>
        <w:ind w:left="476" w:hanging="357"/>
        <w:rPr>
          <w:rFonts w:ascii="新細明體" w:eastAsia="新細明體" w:hAnsi="新細明體"/>
          <w:color w:val="000000"/>
          <w:sz w:val="20"/>
          <w:szCs w:val="20"/>
        </w:rPr>
      </w:pPr>
      <w:r w:rsidRPr="002D0BED">
        <w:rPr>
          <w:rFonts w:ascii="新細明體" w:eastAsia="新細明體" w:hAnsi="新細明體" w:hint="eastAsia"/>
          <w:color w:val="000000"/>
          <w:sz w:val="20"/>
          <w:szCs w:val="20"/>
        </w:rPr>
        <w:t>能解決圓形圖相關的問題。</w:t>
      </w:r>
    </w:p>
    <w:p w:rsidR="007F3521" w:rsidRPr="00EE413A" w:rsidRDefault="007F3521" w:rsidP="007F3521">
      <w:pPr>
        <w:rPr>
          <w:rFonts w:hAnsi="新細明體"/>
          <w:color w:val="000000"/>
        </w:rPr>
      </w:pPr>
      <w:r>
        <w:rPr>
          <w:rFonts w:ascii="標楷體" w:eastAsia="標楷體"/>
          <w:sz w:val="24"/>
        </w:rPr>
        <w:lastRenderedPageBreak/>
        <w:br w:type="page"/>
      </w:r>
      <w:r w:rsidRPr="00EE413A">
        <w:rPr>
          <w:rFonts w:hAnsi="新細明體"/>
          <w:color w:val="000000"/>
        </w:rPr>
        <w:lastRenderedPageBreak/>
        <w:t>﹙</w:t>
      </w:r>
      <w:r w:rsidRPr="00EE413A">
        <w:rPr>
          <w:rFonts w:hAnsi="新細明體" w:hint="eastAsia"/>
          <w:color w:val="000000"/>
        </w:rPr>
        <w:t>二</w:t>
      </w:r>
      <w:r w:rsidRPr="00EE413A">
        <w:rPr>
          <w:rFonts w:hAnsi="新細明體"/>
          <w:color w:val="000000"/>
        </w:rPr>
        <w:t>﹚</w:t>
      </w:r>
      <w:r w:rsidRPr="00EE413A">
        <w:rPr>
          <w:rFonts w:hAnsi="新細明體" w:hint="eastAsia"/>
          <w:color w:val="000000"/>
        </w:rPr>
        <w:t>六</w:t>
      </w:r>
      <w:r w:rsidRPr="00EE413A">
        <w:rPr>
          <w:rFonts w:hAnsi="新細明體"/>
          <w:color w:val="000000"/>
        </w:rPr>
        <w:t>年級下學期之</w:t>
      </w:r>
      <w:r>
        <w:rPr>
          <w:rFonts w:hAnsi="新細明體" w:hint="eastAsia"/>
          <w:color w:val="000000"/>
        </w:rPr>
        <w:t>數學</w:t>
      </w:r>
      <w:r w:rsidRPr="00EE413A">
        <w:rPr>
          <w:rFonts w:hAnsi="新細明體" w:hint="eastAsia"/>
          <w:color w:val="000000"/>
        </w:rPr>
        <w:t>領域教學計畫表</w:t>
      </w:r>
    </w:p>
    <w:p w:rsidR="007F3521" w:rsidRPr="00EE413A" w:rsidRDefault="007F3521" w:rsidP="007F3521">
      <w:pPr>
        <w:pStyle w:val="a3"/>
        <w:spacing w:afterLines="0" w:after="120"/>
        <w:ind w:left="120"/>
        <w:rPr>
          <w:rFonts w:ascii="新細明體" w:eastAsia="新細明體" w:hAnsi="新細明體"/>
          <w:sz w:val="20"/>
          <w:szCs w:val="20"/>
        </w:rPr>
      </w:pPr>
      <w:r w:rsidRPr="00EE413A">
        <w:rPr>
          <w:rFonts w:ascii="新細明體" w:eastAsia="新細明體" w:hAnsi="新細明體"/>
          <w:sz w:val="20"/>
          <w:szCs w:val="20"/>
        </w:rPr>
        <w:t>1.</w:t>
      </w:r>
      <w:r w:rsidRPr="00EE413A">
        <w:rPr>
          <w:rFonts w:ascii="新細明體" w:eastAsia="新細明體" w:hAnsi="新細明體" w:hint="eastAsia"/>
          <w:sz w:val="20"/>
          <w:szCs w:val="20"/>
        </w:rPr>
        <w:t>學科領域：</w:t>
      </w:r>
      <w:r w:rsidRPr="00491EFC">
        <w:rPr>
          <w:rFonts w:ascii="新細明體" w:eastAsia="新細明體" w:hAnsi="新細明體" w:hint="eastAsia"/>
          <w:sz w:val="20"/>
          <w:szCs w:val="20"/>
        </w:rPr>
        <w:t>數學</w:t>
      </w:r>
    </w:p>
    <w:p w:rsidR="007F3521" w:rsidRPr="00EE413A" w:rsidRDefault="007F3521" w:rsidP="007F3521">
      <w:pPr>
        <w:pStyle w:val="a3"/>
        <w:spacing w:afterLines="0" w:after="120"/>
        <w:ind w:left="120"/>
        <w:rPr>
          <w:rFonts w:ascii="新細明體" w:eastAsia="新細明體" w:hAnsi="新細明體"/>
          <w:sz w:val="20"/>
          <w:szCs w:val="20"/>
        </w:rPr>
      </w:pPr>
      <w:r w:rsidRPr="00EE413A">
        <w:rPr>
          <w:rFonts w:ascii="新細明體" w:eastAsia="新細明體" w:hAnsi="新細明體"/>
          <w:sz w:val="20"/>
          <w:szCs w:val="20"/>
        </w:rPr>
        <w:t>2.</w:t>
      </w:r>
      <w:r w:rsidRPr="00EE413A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EE413A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六</w:t>
      </w:r>
      <w:r w:rsidRPr="00EE413A">
        <w:rPr>
          <w:rFonts w:ascii="新細明體" w:eastAsia="新細明體" w:hAnsi="新細明體" w:hint="eastAsia"/>
          <w:sz w:val="20"/>
          <w:szCs w:val="20"/>
        </w:rPr>
        <w:t>學年度下學期六年級學生</w:t>
      </w:r>
    </w:p>
    <w:p w:rsidR="007F3521" w:rsidRPr="004A0009" w:rsidRDefault="007F3521" w:rsidP="007F3521">
      <w:pPr>
        <w:pStyle w:val="a3"/>
        <w:spacing w:afterLines="0" w:after="120"/>
        <w:ind w:left="120"/>
        <w:rPr>
          <w:rFonts w:ascii="標楷體" w:eastAsia="標楷體" w:hAnsi="標楷體"/>
          <w:sz w:val="28"/>
        </w:rPr>
      </w:pPr>
      <w:r w:rsidRPr="00EE413A">
        <w:rPr>
          <w:rFonts w:ascii="新細明體" w:eastAsia="新細明體" w:hAnsi="新細明體" w:hint="eastAsia"/>
          <w:sz w:val="20"/>
          <w:szCs w:val="20"/>
        </w:rPr>
        <w:t>3.架構圖：</w:t>
      </w: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D971A1" w:rsidP="007F3521">
      <w:pPr>
        <w:rPr>
          <w:rFonts w:ascii="標楷體" w:eastAsia="標楷體"/>
          <w:sz w:val="24"/>
        </w:rPr>
      </w:pPr>
      <w:r>
        <w:rPr>
          <w:rFonts w:ascii="標楷體" w:eastAsia="標楷體"/>
          <w:noProof/>
          <w:sz w:val="24"/>
        </w:rPr>
        <w:pict>
          <v:group id="_x0000_s1175" style="position:absolute;margin-left:76.15pt;margin-top:6.2pt;width:548.4pt;height:305pt;z-index:2" coordorigin="503,4053" coordsize="11203,6284">
            <v:line id="_x0000_s1176" style="position:absolute" from="6123,8395" to="6123,8849">
              <v:stroke endarrow="block"/>
            </v:line>
            <v:line id="_x0000_s1177" style="position:absolute" from="6110,6233" to="6110,6687">
              <v:stroke endarrow="block"/>
            </v:line>
            <v:shape id="_x0000_s1178" type="#_x0000_t202" style="position:absolute;left:4969;top:5716;width:2268;height:510">
              <v:textbox style="mso-next-textbox:#_x0000_s1178">
                <w:txbxContent>
                  <w:p w:rsidR="007F3521" w:rsidRDefault="007F3521" w:rsidP="007F3521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加油小站（一）</w:t>
                    </w:r>
                  </w:p>
                  <w:p w:rsidR="007F3521" w:rsidRPr="007A0FC9" w:rsidRDefault="007F3521" w:rsidP="007F3521"/>
                </w:txbxContent>
              </v:textbox>
            </v:shape>
            <v:shape id="_x0000_s1179" type="#_x0000_t202" style="position:absolute;left:4992;top:8856;width:2268;height:510">
              <v:textbox style="mso-next-textbox:#_x0000_s1179">
                <w:txbxContent>
                  <w:p w:rsidR="007F3521" w:rsidRDefault="007F3521" w:rsidP="007F3521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加油小站（二）</w:t>
                    </w:r>
                  </w:p>
                </w:txbxContent>
              </v:textbox>
            </v:shape>
            <v:shape id="_x0000_s1180" type="#_x0000_t202" style="position:absolute;left:503;top:4053;width:2042;height:680">
              <v:textbox style="mso-next-textbox:#_x0000_s1180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單元一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柱體的體積</w:t>
                    </w:r>
                  </w:p>
                </w:txbxContent>
              </v:textbox>
            </v:shape>
            <v:shape id="_x0000_s1181" type="#_x0000_t202" style="position:absolute;left:3556;top:4054;width:2042;height:680">
              <v:textbox style="mso-next-textbox:#_x0000_s1181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單元二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怎樣解題（一）</w:t>
                    </w:r>
                  </w:p>
                </w:txbxContent>
              </v:textbox>
            </v:shape>
            <v:shape id="_x0000_s1182" type="#_x0000_t202" style="position:absolute;left:6610;top:4053;width:2042;height:680">
              <v:textbox style="mso-next-textbox:#_x0000_s1182">
                <w:txbxContent>
                  <w:p w:rsidR="007F3521" w:rsidRPr="00E96904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 w:rsidRPr="00E96904">
                      <w:rPr>
                        <w:rFonts w:ascii="標楷體" w:eastAsia="標楷體" w:hint="eastAsia"/>
                      </w:rPr>
                      <w:t>單元三</w:t>
                    </w:r>
                  </w:p>
                  <w:p w:rsidR="007F3521" w:rsidRPr="00E96904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Calibri" w:eastAsia="新細明體"/>
                      </w:rPr>
                    </w:pPr>
                    <w:r>
                      <w:rPr>
                        <w:rFonts w:ascii="標楷體" w:eastAsia="標楷體" w:hint="eastAsia"/>
                      </w:rPr>
                      <w:t>基準量和比較量</w:t>
                    </w:r>
                  </w:p>
                </w:txbxContent>
              </v:textbox>
            </v:shape>
            <v:shape id="_x0000_s1183" type="#_x0000_t202" style="position:absolute;left:9664;top:4053;width:2042;height:680">
              <v:textbox style="mso-next-textbox:#_x0000_s1183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單元四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Calibri" w:eastAsia="新細明體"/>
                      </w:rPr>
                    </w:pPr>
                    <w:r>
                      <w:rPr>
                        <w:rFonts w:ascii="標楷體" w:eastAsia="標楷體" w:hint="eastAsia"/>
                      </w:rPr>
                      <w:t>縮圖和比例尺</w:t>
                    </w:r>
                  </w:p>
                </w:txbxContent>
              </v:textbox>
            </v:shape>
            <v:shape id="_x0000_s1184" type="#_x0000_t202" style="position:absolute;left:2763;top:7219;width:2042;height:680">
              <v:textbox style="mso-next-textbox:#_x0000_s1184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單元五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四則混合運算</w:t>
                    </w:r>
                  </w:p>
                </w:txbxContent>
              </v:textbox>
            </v:shape>
            <v:shape id="_x0000_s1185" type="#_x0000_t202" style="position:absolute;left:5083;top:7219;width:2042;height:680">
              <v:textbox style="mso-next-textbox:#_x0000_s1185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單元六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怎樣解題（二）</w:t>
                    </w:r>
                  </w:p>
                </w:txbxContent>
              </v:textbox>
            </v:shape>
            <v:shape id="_x0000_s1186" type="#_x0000_t202" style="position:absolute;left:7404;top:7219;width:2042;height:680">
              <v:textbox style="mso-next-textbox:#_x0000_s1186">
                <w:txbxContent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單元七</w:t>
                    </w:r>
                  </w:p>
                  <w:p w:rsidR="007F3521" w:rsidRDefault="007F3521" w:rsidP="007F3521">
                    <w:pPr>
                      <w:pStyle w:val="a3"/>
                      <w:spacing w:afterLines="0" w:after="0" w:line="240" w:lineRule="exact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統計圖表</w:t>
                    </w:r>
                  </w:p>
                  <w:p w:rsidR="007F3521" w:rsidRDefault="007F3521" w:rsidP="007F3521">
                    <w:pPr>
                      <w:rPr>
                        <w:rFonts w:ascii="Calibri" w:eastAsia="新細明體"/>
                      </w:rPr>
                    </w:pPr>
                  </w:p>
                </w:txbxContent>
              </v:textbox>
            </v:shape>
            <v:group id="_x0000_s1187" style="position:absolute;left:1522;top:4734;width:9175;height:523" coordorigin="1522,4734" coordsize="9175,523">
              <v:line id="_x0000_s1188" style="position:absolute" from="1522,5257" to="10697,5257"/>
              <v:line id="_x0000_s1189" style="position:absolute" from="1522,4747" to="1522,5257"/>
              <v:line id="_x0000_s1190" style="position:absolute" from="4580,4734" to="4580,5244"/>
              <v:line id="_x0000_s1191" style="position:absolute" from="7638,4747" to="7638,5257"/>
              <v:line id="_x0000_s1192" style="position:absolute" from="10696,4746" to="10696,5256"/>
            </v:group>
            <v:line id="_x0000_s1193" style="position:absolute" from="6112,5262" to="6112,5716">
              <v:stroke endarrow="block"/>
            </v:line>
            <v:group id="_x0000_s1194" style="position:absolute;left:3775;top:6693;width:4660;height:510" coordorigin="3775,6693" coordsize="4660,510">
              <v:line id="_x0000_s1195" style="position:absolute" from="3786,6693" to="8435,6693"/>
              <v:line id="_x0000_s1196" style="position:absolute" from="3775,6693" to="3775,7203"/>
              <v:line id="_x0000_s1197" style="position:absolute" from="8433,6693" to="8433,7203"/>
              <v:line id="_x0000_s1198" style="position:absolute" from="6104,6693" to="6104,7203"/>
            </v:group>
            <v:group id="_x0000_s1199" style="position:absolute;left:3786;top:7899;width:4660;height:510;flip:x y" coordorigin="3775,6693" coordsize="4660,510">
              <v:line id="_x0000_s1200" style="position:absolute" from="3786,6693" to="8435,6693"/>
              <v:line id="_x0000_s1201" style="position:absolute" from="3775,6693" to="3775,7203"/>
              <v:line id="_x0000_s1202" style="position:absolute" from="8433,6693" to="8433,7203"/>
              <v:line id="_x0000_s1203" style="position:absolute" from="6104,6693" to="6104,7203"/>
            </v:group>
            <v:line id="_x0000_s1204" style="position:absolute" from="6100,9366" to="6100,9820">
              <v:stroke endarrow="block"/>
            </v:line>
            <v:shape id="_x0000_s1205" type="#_x0000_t202" style="position:absolute;left:4969;top:9827;width:2268;height:510">
              <v:textbox style="mso-next-textbox:#_x0000_s1205">
                <w:txbxContent>
                  <w:p w:rsidR="007F3521" w:rsidRDefault="007F3521" w:rsidP="007F3521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數學博覽會</w:t>
                    </w:r>
                  </w:p>
                </w:txbxContent>
              </v:textbox>
            </v:shape>
          </v:group>
        </w:pict>
      </w: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Default="007F3521" w:rsidP="007F3521">
      <w:pPr>
        <w:rPr>
          <w:rFonts w:ascii="標楷體" w:eastAsia="標楷體"/>
          <w:sz w:val="24"/>
        </w:rPr>
      </w:pPr>
    </w:p>
    <w:p w:rsidR="007F3521" w:rsidRPr="00C32FB3" w:rsidRDefault="007F3521" w:rsidP="007F3521">
      <w:pPr>
        <w:numPr>
          <w:ilvl w:val="0"/>
          <w:numId w:val="4"/>
        </w:numPr>
        <w:ind w:hanging="72"/>
        <w:rPr>
          <w:rFonts w:ascii="新細明體" w:eastAsia="新細明體" w:hAnsi="新細明體"/>
          <w:color w:val="000000"/>
          <w:sz w:val="20"/>
          <w:szCs w:val="20"/>
        </w:rPr>
        <w:sectPr w:rsidR="007F3521" w:rsidRPr="00C32FB3" w:rsidSect="007F3521">
          <w:footerReference w:type="even" r:id="rId7"/>
          <w:footerReference w:type="default" r:id="rId8"/>
          <w:pgSz w:w="17123" w:h="12191" w:orient="landscape" w:code="9"/>
          <w:pgMar w:top="1134" w:right="1134" w:bottom="1134" w:left="1134" w:header="567" w:footer="567" w:gutter="0"/>
          <w:cols w:space="425"/>
          <w:docGrid w:type="lines" w:linePitch="368"/>
        </w:sect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2"/>
      </w:tblGrid>
      <w:tr w:rsidR="007F3521" w:rsidRPr="00BB76B9" w:rsidTr="009E1E01">
        <w:trPr>
          <w:trHeight w:val="370"/>
          <w:tblHeader/>
        </w:trPr>
        <w:tc>
          <w:tcPr>
            <w:tcW w:w="7392" w:type="dxa"/>
            <w:vAlign w:val="center"/>
          </w:tcPr>
          <w:p w:rsidR="007F3521" w:rsidRPr="004A0009" w:rsidRDefault="007F3521" w:rsidP="009E1E0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BB76B9">
              <w:rPr>
                <w:rFonts w:ascii="標楷體" w:eastAsia="標楷體"/>
              </w:rPr>
              <w:lastRenderedPageBreak/>
              <w:t>(</w:t>
            </w:r>
            <w:r>
              <w:rPr>
                <w:rFonts w:ascii="標楷體" w:eastAsia="標楷體" w:hint="eastAsia"/>
              </w:rPr>
              <w:t>三</w:t>
            </w:r>
            <w:r w:rsidRPr="00BB76B9">
              <w:rPr>
                <w:rFonts w:ascii="標楷體" w:eastAsia="標楷體"/>
              </w:rPr>
              <w:t>)</w:t>
            </w:r>
            <w:r w:rsidRPr="00BB76B9">
              <w:rPr>
                <w:rFonts w:ascii="標楷體" w:eastAsia="標楷體" w:hint="eastAsia"/>
              </w:rPr>
              <w:t>六</w:t>
            </w:r>
            <w:r w:rsidRPr="00BB76B9">
              <w:rPr>
                <w:rFonts w:ascii="標楷體" w:eastAsia="標楷體"/>
              </w:rPr>
              <w:t>年級</w:t>
            </w:r>
            <w:r w:rsidRPr="00BB76B9">
              <w:rPr>
                <w:rFonts w:ascii="標楷體" w:eastAsia="標楷體" w:hint="eastAsia"/>
              </w:rPr>
              <w:t>下</w:t>
            </w:r>
            <w:r w:rsidRPr="00BB76B9">
              <w:rPr>
                <w:rFonts w:ascii="標楷體" w:eastAsia="標楷體"/>
              </w:rPr>
              <w:t>學期九年一貫</w:t>
            </w:r>
            <w:r w:rsidRPr="00BB76B9">
              <w:rPr>
                <w:rFonts w:ascii="Times New Roman" w:eastAsia="標楷體" w:hint="eastAsia"/>
              </w:rPr>
              <w:t>數學</w:t>
            </w:r>
            <w:r w:rsidRPr="00BB76B9">
              <w:rPr>
                <w:rFonts w:ascii="標楷體" w:eastAsia="標楷體"/>
              </w:rPr>
              <w:t>課程各單元內涵分析</w:t>
            </w:r>
          </w:p>
        </w:tc>
      </w:tr>
    </w:tbl>
    <w:p w:rsidR="007F3521" w:rsidRPr="00BB76B9" w:rsidRDefault="007F3521" w:rsidP="007F3521">
      <w:pPr>
        <w:jc w:val="both"/>
        <w:rPr>
          <w:rFonts w:ascii="新細明體" w:eastAsia="新細明體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411"/>
        <w:gridCol w:w="456"/>
        <w:gridCol w:w="382"/>
        <w:gridCol w:w="2678"/>
        <w:gridCol w:w="2268"/>
        <w:gridCol w:w="2693"/>
        <w:gridCol w:w="425"/>
        <w:gridCol w:w="1165"/>
        <w:gridCol w:w="934"/>
        <w:gridCol w:w="1800"/>
        <w:gridCol w:w="1203"/>
      </w:tblGrid>
      <w:tr w:rsidR="007F3521" w:rsidRPr="00BB76B9" w:rsidTr="009E1E01">
        <w:trPr>
          <w:trHeight w:val="640"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起訖週次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0"/>
              </w:rPr>
            </w:pPr>
            <w:r w:rsidRPr="00BB76B9">
              <w:rPr>
                <w:rFonts w:ascii="Times New Roman" w:eastAsia="標楷體" w:hint="eastAsia"/>
                <w:sz w:val="20"/>
              </w:rPr>
              <w:t>起</w:t>
            </w:r>
            <w:r w:rsidRPr="00BB76B9">
              <w:rPr>
                <w:rFonts w:ascii="Times New Roman" w:eastAsia="標楷體" w:hint="eastAsia"/>
                <w:sz w:val="22"/>
              </w:rPr>
              <w:t>訖</w:t>
            </w:r>
          </w:p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18"/>
              </w:rPr>
            </w:pPr>
            <w:r w:rsidRPr="00BB76B9">
              <w:rPr>
                <w:rFonts w:ascii="Times New Roman" w:eastAsia="標楷體" w:hint="eastAsia"/>
                <w:sz w:val="20"/>
              </w:rPr>
              <w:t>日期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0"/>
              </w:rPr>
            </w:pPr>
            <w:r w:rsidRPr="00BB76B9">
              <w:rPr>
                <w:rFonts w:ascii="Times New Roman" w:eastAsia="標楷體" w:hint="eastAsia"/>
                <w:sz w:val="20"/>
              </w:rPr>
              <w:t>主題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pacing w:val="-14"/>
                <w:w w:val="90"/>
                <w:sz w:val="20"/>
              </w:rPr>
            </w:pPr>
            <w:r w:rsidRPr="00BB76B9">
              <w:rPr>
                <w:rFonts w:ascii="Times New Roman" w:eastAsia="標楷體" w:hint="eastAsia"/>
                <w:sz w:val="20"/>
              </w:rPr>
              <w:t>單元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分段能力指標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學習目標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教學重點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w w:val="90"/>
                <w:sz w:val="22"/>
              </w:rPr>
            </w:pPr>
            <w:r w:rsidRPr="00BB76B9">
              <w:rPr>
                <w:rFonts w:ascii="Times New Roman" w:eastAsia="標楷體" w:hint="eastAsia"/>
                <w:sz w:val="20"/>
              </w:rPr>
              <w:t>節數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教學資源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評量</w:t>
            </w:r>
          </w:p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方法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重大議題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F3521" w:rsidRPr="00BB76B9" w:rsidRDefault="007F3521" w:rsidP="009E1E01">
            <w:pPr>
              <w:snapToGrid w:val="0"/>
              <w:spacing w:line="240" w:lineRule="exact"/>
              <w:jc w:val="center"/>
              <w:rPr>
                <w:rFonts w:ascii="Times New Roman" w:eastAsia="標楷體"/>
                <w:sz w:val="22"/>
              </w:rPr>
            </w:pPr>
            <w:r w:rsidRPr="00BB76B9">
              <w:rPr>
                <w:rFonts w:ascii="Times New Roman" w:eastAsia="標楷體" w:hint="eastAsia"/>
                <w:sz w:val="22"/>
              </w:rPr>
              <w:t>十大基本能力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21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數與量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單元1</w:t>
            </w: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柱體的體積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N-3-24能理解簡單直立柱體的體積為底面積與高的乘積。（S-3-10）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S-3-01能利用幾何形體的性質解決簡單的幾何問題。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A-3-06能用符號表示簡單的常用公式。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6-n-15能理解簡單直柱體的體積為底面積與高的乘積。（同6-s-05）6-s-01能利用幾何形體的性質解決簡單的幾何問題。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6-a-03能用符號表示常用的公式。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C-R-1、C-T-1、C-T-2、C-T-3、C-T-4、C-S-2、C-S-3、C-C-1、C-C-5、C-C-6、C-E-4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1.了解柱體體積的求法。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1.在生活情境中，察覺形狀、大小相同的紙片一張張堆疊整齊，會堆疊成直立柱體。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2.在生活情境中，察覺長方體體積＝長×寬×高＝底面積×柱高。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3.在生活情境中，察覺柱體體積＝底面積×柱高。（底面是平行四邊形或三角形）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資訊教育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3-4-5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能針對問題提出可行的解決方法。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2-1-2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學習與不同性別者平等互動。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表達個人的基本權利，並了解人權與社會責任的關係。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七、規劃、組織與實踐。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二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數與量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單元1柱體的體積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N-3-24能理解簡單直立柱體的體積為底面積與高的乘積。（S-3-10）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S-3-01能利用幾何形體的性質解決簡單的幾何問題。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A-3-06能用符號表示簡單的常用公式。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6-n-15能理解簡單直柱體的體積為底面積與高的乘積。（同6-s-05）6-s-01能利用幾何形體的性質解決簡單的幾何問題。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6-a-03能用符號表示常用的公式。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C-R-1、C-T-1、C-T-2、C-T-3、C-T-4、C-S-2、C-S-3、C-C-1、C-C-5、C-C-6、C-E-4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1.了解柱體體積的求法。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2.了解柱體體積公式的應用。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1.在生活情境中，察覺柱體體積＝底面積×柱高。（底面是圓形）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2.能理解柱體體積公式以及體積的普遍單位。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3.能應用柱體體積公式，算出柱體的體積。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4.能應用柱體體積公式，算出複合形體或重疊形體的體積。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5.能應用柱體體積公式，算出空心柱體或無蓋容器的體積。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資訊教育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3-4-5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能針對問題提出可行的解決方法。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2-1-2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學習與不同性別者平等互動。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表達個人的基本權利，並了解人權與社會責任的關係。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七、規劃、組織與實踐。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三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單元2怎樣解題(一)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N-3-18能由生活中常用的數量關係，運用於理解問題並解決問題。（同A-3-02）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6-n-13能利用常用的數量關係，列出恰當的算式，進行解題，並檢驗解的合理性。（同6-a-04）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C-R-1、C-R-2、C-T-1、C-T-2、C-T-3、C-S-2、C-S-4、C-S-5、C-C-1、C-C-3、C-C-5、C-C-6、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C-C-8、C-E-1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1.能依問題情境先簡化問題，再回到原問題進行解題。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1.透過布題的討論和觀察，將問題簡化並思考解題的方法。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四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單元2怎樣解題(一)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N-3-18能由生活中常用的數量關係，運用於理解問題並解決問題。（同A-3-02）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6-n-13能利用常用的數量關係，列出恰當的算式，進行解題，並檢驗解的合理性。（同6-a-04）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C-R-1、C-R-2、C-T-1、C-T-2、C-T-3、C-S-2、C-S-4、C-S-5、C-C-1、C-C-3、C-C-5、C-C-6、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C-C-8、C-E-1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1.能依問題情境先簡化問題，再回到原問題進行解題。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2.能發現數字和圖形的規律，並應用列表找規律解題。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1.透過布題的討論和觀察，將問題簡化並思考解題的方法。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2.透過布題的討論和觀察，列表找規律來解決生活中的應用問題。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3.透過布題的討論和觀察，從圖示或算式找規律來解決生活中的應用問題。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單元3基準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量和比較量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N-3-18能由生活中常用的數量關係，運用於理解問題並解決問題。（同A-3-02）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A-3-04能用含未知數符號的算式表徵具體情境之單步驟問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題，並解釋算式與情境的關係。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A-3-05能解決用未知數列式之單步驟問題。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C-R-1、C-R-2、C-T-1、C-T-2、C-T-3、C-S-2、C-S-3、C-S-5、C-C-1、C-C-3、C-C-5、C-C-6、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1.能在具體情境中理解基準量、比較量和比值，並運用畫線段圖的方法解題。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1.認識基準量和比較量。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2.在具體情境中，找出基準量和比較量，求出比值。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3.在具體情境中，找出基準量和比值，求出比較量。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4.在具體情境中，找出比較量和比值，求出基準量。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2-1-2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學習與不同性別者平等互動。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本權利，並了解人權與社會責任的關係。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六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單元3基準量和比較量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N-3-18能由生活中常用的數量關係，運用於理解問題並解決問題。（同A-3-02）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A-3-04能用含未知數符號的算式表徵具體情境之單步驟問題，並解釋算式與情境的關係。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A-3-05能解決用未知數列式之單步驟問題。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C-R-1、C-R-2、C-T-1、C-T-2、C-T-3、C-S-2、C-S-3、C-S-5、C-C-1、C-C-3、C-C-5、C-C-6、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1.能在具體情境中理解基準量、比較量和比值，並運用畫線段圖的方法解題。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2.能理解給定的題目，列出算式解題。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1.在具體情境中，找出基準量和比較量之和。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2.在具體情境中，找出基準量和比較量之差。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3.在具體情境中，運用兩量的和，求出基準量和比較量。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4.在具體情境中，運用兩量的差，求出基準量和比較量。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2-1-2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學習與不同性別者平等互動。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表達個人的基本權利，並了解人權與社會責任的關係。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七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數與量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單元4縮圖和比例尺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S-3-04能認識平面圖形放大、縮小對長度、角度與面積的影響，並認識比例尺。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6-s-02能認識平面圖形放大、縮小對長度、角度與面積的影響，並認識比例尺。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C-C-8、C-E-1、C-E-4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1.認識縮圖和放大圖。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2.了解平面圖形放大、縮小對長度、角度和面積的影響。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1.能在具體情境中，透過觀察、比較察覺兩個圖形的異同。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2.能知道縮圖與放大圖的意義。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3.能找出三角形、梯形的原圖和放大圖的對應點、對應邊和對應角。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4.能經由實測，察覺原圖和縮圖或放大圖的每一組對應角都相等。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5.能透過比較，察覺原圖和縮圖或放大圖的每一組對應邊以相同的比例放大、縮小。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6.能知道原圖和縮圖或放大圖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間的面積關係。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八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數與量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單元4縮圖和比例尺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S-3-04能認識平面圖形放大、縮小對長度、角度與面積的影響，並認識比例尺。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6-s-02能認識平面圖形放大、縮小對長度、角度與面積的影響，並認識比例尺。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C-C-8、C-E-1、C-E-4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1.會繪製縮圖和放大圖。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2.認識比例尺。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1.利用點數格子的方法，在方格紙上繪製縮圖。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2.利用點數格子的方法，在方格紙上繪製放大圖。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3.能算出縮圖上的長度和實際長度的比值。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4.能從縮圖上的長度和實際長度的比值，認識比例尺。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九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數與量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單元4縮圖和比例尺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S-3-04能認識平面圖形放大、縮小對長度、角度與面積的影響，並認識比例尺。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6-s-02能認識平面圖形放大、縮小對長度、角度與面積的影響，並認識比例尺。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C-R-1、C-R-2、C-R-4、C-T-1、C-T-2、C-S-1、C-S-2、C-S-4、C-S-5、C-C-3、C-C-5、C-C-6、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C-C-8、C-E-1、C-E-4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1.認識比例尺。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1.能藉由縮圖和比例尺，估算出實際長度或距離。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2.能藉由比例尺，估算出縮圖的長度或距離。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數與量、數與計算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評量週</w:t>
            </w: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加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油小站一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1.複習單元一～單元四。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1.能由基準量和比較量的關係計算利率。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2.能由基準量和比較量的利率關係求出利息。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3.能由基準量和比較量的利率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關係求出兩量的和。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4.能認識比例尺，並經由地圖的實測來計算距離。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5.能利用柱體體積和表面積的計算方法，解決給定的應用問題。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6.能發現兩個變化量之間的關係，列出算式，進行解題。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7.能複習柱體的體積公式，算出柱體所有邊的長度和。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十一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單元5四則混合運算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N-3-02能熟練整數四則混合運算，並解決生活中的三步驟問題。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A-3-01能在具體情境中，理解乘法對加法的分配律與其他乘除混合計算之性質，並運用於簡化計算。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6-n-05能在具體情境中，解決分數的兩步驟問題，並能併式計算。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6-n-08能在具體情境中，解決小數的兩步驟問題，並能併式計算。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C-R-1、C-R-2、C-R-4、C-T-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1、C-T-2、C-S-1、C-S-3、C-S-4、C-C-3、C-C-5、C-C-6、</w:t>
            </w: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C-C-8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1.能在具體情境中，解決分數的加減運算問題。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2.能在具體情境中，解決分數的連乘、連除、加減或乘除運算問題。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3.能在具體情境中，解決分數四則運算問題。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4.能在具體情境中，解決小數的加減運算問題。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5.能在具體情境中，解決小數的連乘、連除、加減或乘除運算問題。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6.能在具體情境中，解決小數四則運算問題。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1.能在具體情境中，解決有關分數的連加、連減問題。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2.能在具體情境中，解決有關分數的連乘、連除問題。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3.能在具體情境中，解決有關分數的加減或乘除問題。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4.能了解分數加、減、乘、除混合計算。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5.能解決分數的四則混合多步驟問題。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6.能在具體情境中，解決有關小數的連減、連加問題。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7.能在具體情境中，解決有關小數的加減問題。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8.能在具體情境中，解決有關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小數的連乘、連除問題。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9.能在具體情境中，解決有關小數的加減或乘除問題。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10.能了解小數加、減、乘、除混合計算。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11.能解決小數的四則混合多步驟問題。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尊重不同性別在溝通過程中有平等表達的權利。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表達個人的基本權利，並了解人權與社會責任的關係。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29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單元5四則混合運算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N-3-02能熟練整數四則混合運算，並解決生活中的三步驟問題。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A-3-01能在具體情境中，理解乘法對加法的分配律與其他乘除混合計算之性質，並運用於簡化計算。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6-n-05能在具體情境中，解決分數的兩步驟問題，並能併式計算。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6-n-08能在具體情境中，解決小數的兩步驟問題，並能併式計算。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C-R-1、C-R-2、C-R-4、C-T-1、C-T-2、C-S-1、C-S-3、C-S-4、C-C-3、C-C-5、C-C-6、</w:t>
            </w: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C-C-8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1.能在具體情境中，解決分數和小數的多步驟四則運算問題。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1.能了解分數和小數混合計算，先將小數換為分數才計算。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2.能解決分數和小數的加、減、乘、除混合多步驟問題。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3.能利用分配律，簡化分數和小數的四則運算問題。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尊重不同性別在溝通過程中有平等表達的權利。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表達個人的基本權利，並了解人權與社會責任的關係。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十、獨立思考與解決問題。</w:t>
            </w:r>
          </w:p>
        </w:tc>
      </w:tr>
      <w:tr w:rsidR="007F3521" w:rsidRPr="00BB76B9" w:rsidTr="009E1E01">
        <w:trPr>
          <w:trHeight w:val="129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單元6怎樣解題(二)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N-3-18能由生活中常用的數量關係，運用於理解問題並解決問題（同A-3-02）。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A-3-04能用含未知數符號的算式表徵具體情境之單步驟問題，並解釋算式與情境的關係。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A-3-05能解決用未知數列式之單步驟問題。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C-R-1、C-R-2、C-T-1、C-T-2、C-T-4、C-S-1、C-S-2、C-S-4、C-S-5、C-C-1、C-C-3、C-C-5、C-C-6、C-C-8、C-E-1、C-E-3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1.能理解給定的題目，並透過數量關係解題。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2.能理解給定的題目，並運用列表找規律的方法解題。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1.透過布題的討論和觀察，解決生活中常用的數量關係問題。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2.透過布題的討論和觀察，使用列表找規律的方法解決生活中的應用問題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1-3-3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瞭解平等、正義的原則，並能在生活中實踐。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十四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單元6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怎樣解題(二)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N-3-18能由生活中常用的數量關係，運用於理解問題並解決問題（同A-3-02）。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A-3-04能用含未知數符號的算式表徵具體情境之單步驟問題，並解釋算式與情境的關係。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A-3-05能解決用未知數列式之單步驟問題。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6-n-13能利用常用的數量關係，列出恰當的算式，進行解題，並檢驗解的合理性。（同6-a-04）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C-R-1、C-R-2、C-T-1、C-T-2、C-T-4、C-S-1、C-S-2、C-S-4、C-S-5、C-C-1、C-C-3、C-C-5、C-C-6、C-C-8、C-E-1、C-E-3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1.能理解給定的題目，並透過數量關係解題。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2.能理解給定的題目，並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運用列表找規律的方法解題。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1.透過布題的討論和觀察，解決生活中常用的數量關係問題。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2.透過布題的討論和觀察，使用列表找規律的方法解決生活中的應用問題。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學習在性別互動中，展現自我的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特色。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1-3-3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瞭解平等、正義的原則，並能在生活中實踐。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0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pStyle w:val="Pa3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Style w:val="A17"/>
                <w:rFonts w:ascii="新細明體" w:eastAsia="新細明體" w:hAnsi="新細明體" w:hint="eastAsia"/>
                <w:sz w:val="20"/>
                <w:szCs w:val="20"/>
              </w:rPr>
              <w:t>統計與機率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單元7統計圖表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D-3-01能整理生活中的資料，並製成長條圖、折線圖或圓形圖。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6-d-01能整理生活中的資料，並製成長條圖。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6-d-02能整理生活中的有序資料，並繪製成折線圖。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6-d-03能報讀生活中常用的圓形圖，並能整理生活中的資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料，製成圓形圖。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C-R-1、C-R-2、C-R-4、C-T-1、C-T-2、C-S-1、C-S-2、C-S-4、C-S-5、C-C-1、C-C-3、C-C-5、C-C-6、C-E-1、C-E-3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1.能整理生活中的資料，繪製成長條圖。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2.能整理生活中的有序資料，繪製成折線圖。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3.能認識圓形圖。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1.能將統計表資料整理並繪製成數量長條圖。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2.能將統計資料應用省略符號整理成長條圖。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3.能將統計表資料整理並繪製成折線圖。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4.能將統計資料應用省略符號整理成折線圖。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5.能認識圓形圖，並報讀表示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的數量。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6.能認識圓形圖，並報讀表示的百分率。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7.能理解圓形圖的意義。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5/2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7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pStyle w:val="Pa3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Style w:val="A17"/>
                <w:rFonts w:ascii="新細明體" w:eastAsia="新細明體" w:hAnsi="新細明體" w:hint="eastAsia"/>
                <w:sz w:val="20"/>
                <w:szCs w:val="20"/>
              </w:rPr>
              <w:t>統計與機率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單元7統計圖表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D-3-01能整理生活中的資料，並製成長條圖、折線圖或圓形圖。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6-d-01能整理生活中的資料，並製成長條圖。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6-d-02能整理生活中的有序資料，並繪製成折線圖。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6-d-03能報讀生活中常用的圓形圖，並能整理生活中的資料，製成圓形圖。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連結：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C-R-1、C-R-2、C-R-4、C-T-1、C-T-2、C-S-1、C-S-2、C-S-</w:t>
            </w: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4、C-S-5、C-C-1、C-C-3、C-C-5、C-C-6、C-E-1、C-E-3</w:t>
            </w: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1.能整理生活中的資料，繪製成圓形圖。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2.能解決圓形圖相關的問題。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1.能把統計資料整理成百分率並繪製百分數圓形圖。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2.能把統計資料所得的比值轉換成圓心角，並繪製成圓形圖。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3.能解決繪製圓形圖時，百分率不足100％的問題。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4.能解決繪製圓形圖時，百分率大於100％的問題。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性別平等教育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2-3-4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尊重不同性別者在溝通過程中有平等表達的權利。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人權教育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1-3-1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表達個人的基本權利，並瞭解人權與社會責任的關係。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生涯發展教育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3-2-2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學習如何解決問題及做決定。</w:t>
            </w: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</w:t>
            </w: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關懷與團隊合作。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華康標黑體" w:hint="eastAsia"/>
                <w:sz w:val="20"/>
                <w:szCs w:val="20"/>
              </w:rPr>
              <w:t>六、文化學習與國際瞭解。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數與計算、統計與機率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加油小站二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1.複習</w:t>
            </w:r>
            <w:r w:rsidRPr="00F8611A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單元五～單元七。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1.能解決分數與小數四則混合計算的問題。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2.能透過列表、圖示或簡化問題的方法，解決生活中的應用問題。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3.能列式表徵生活情境中的數量關係，及了解表徵式的異同。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4.能讓學生接觸到生活中各種理財問題。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5.能整理生活中的資料，並製成圓形圖。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6.能激發學生生態保育的情操。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7.能解決圓形圖相關的問題。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8.能解決雞兔問題和四則混合計算。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  <w:tr w:rsidR="007F3521" w:rsidRPr="00BB76B9" w:rsidTr="009E1E01">
        <w:trPr>
          <w:trHeight w:val="624"/>
        </w:trPr>
        <w:tc>
          <w:tcPr>
            <w:tcW w:w="0" w:type="auto"/>
            <w:vAlign w:val="center"/>
          </w:tcPr>
          <w:p w:rsidR="007F3521" w:rsidRPr="00F8611A" w:rsidRDefault="007F3521" w:rsidP="009E1E0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0" w:type="auto"/>
            <w:vAlign w:val="center"/>
          </w:tcPr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7F3521" w:rsidRPr="00C90AA1" w:rsidRDefault="007F3521" w:rsidP="009E1E0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C90AA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數與計算、統計與機率</w:t>
            </w:r>
          </w:p>
        </w:tc>
        <w:tc>
          <w:tcPr>
            <w:tcW w:w="360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評量</w:t>
            </w: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週</w:t>
            </w: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數學博覽會</w:t>
            </w: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  <w:p w:rsidR="007F3521" w:rsidRPr="00F8611A" w:rsidRDefault="007F3521" w:rsidP="009E1E01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休業式</w:t>
            </w:r>
          </w:p>
        </w:tc>
        <w:tc>
          <w:tcPr>
            <w:tcW w:w="267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/>
                <w:sz w:val="20"/>
                <w:szCs w:val="20"/>
              </w:rPr>
              <w:t>總複習</w:t>
            </w:r>
          </w:p>
        </w:tc>
        <w:tc>
          <w:tcPr>
            <w:tcW w:w="269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1.能認識各個古文明十進位制數字，並做有趣的運用。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2.能應用比例關係和直角三角形的性質解決生活上的問題。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3.能理解速度的概念，並進行單位的換算。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4.能知道臺灣各種水果的產季。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5.能認識「阿彌陀籤」的玩法。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6.能理解分數在音樂藝術上的應用。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7.能將有序資料繪製成折線圖。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8.能透過圖示的方法，察覺數字間的關係，並解決問題。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9.使用文字符號，表徵生活情境中的數量關係。</w:t>
            </w:r>
          </w:p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10.能透過圖示的方法簡化問題，並列式解決給定的問題。</w:t>
            </w:r>
          </w:p>
        </w:tc>
        <w:tc>
          <w:tcPr>
            <w:tcW w:w="425" w:type="dxa"/>
            <w:vAlign w:val="center"/>
          </w:tcPr>
          <w:p w:rsidR="007F3521" w:rsidRPr="00F8611A" w:rsidRDefault="007F3521" w:rsidP="009E1E0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934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F8611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觀察評量操作評量實作評量口頭評量發表評量</w:t>
            </w:r>
          </w:p>
        </w:tc>
        <w:tc>
          <w:tcPr>
            <w:tcW w:w="1800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203" w:type="dxa"/>
          </w:tcPr>
          <w:p w:rsidR="007F3521" w:rsidRPr="00F8611A" w:rsidRDefault="007F3521" w:rsidP="009E1E01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</w:tbl>
    <w:p w:rsidR="007F3521" w:rsidRPr="00BB76B9" w:rsidRDefault="007F3521" w:rsidP="007F3521">
      <w:pPr>
        <w:ind w:left="312" w:hanging="312"/>
        <w:rPr>
          <w:rFonts w:ascii="Times New Roman" w:eastAsia="新細明體"/>
        </w:rPr>
      </w:pPr>
    </w:p>
    <w:p w:rsidR="007F3521" w:rsidRPr="008B5E86" w:rsidRDefault="007F3521">
      <w:pPr>
        <w:ind w:left="312" w:hanging="312"/>
        <w:rPr>
          <w:rFonts w:ascii="Times New Roman" w:eastAsia="新細明體"/>
        </w:rPr>
      </w:pPr>
    </w:p>
    <w:sectPr w:rsidR="007F3521" w:rsidRPr="008B5E86">
      <w:footerReference w:type="even" r:id="rId9"/>
      <w:footerReference w:type="default" r:id="rId10"/>
      <w:pgSz w:w="17123" w:h="12191" w:orient="landscape" w:code="9"/>
      <w:pgMar w:top="907" w:right="1162" w:bottom="964" w:left="1162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A1" w:rsidRDefault="00D971A1">
      <w:r>
        <w:separator/>
      </w:r>
    </w:p>
  </w:endnote>
  <w:endnote w:type="continuationSeparator" w:id="0">
    <w:p w:rsidR="00D971A1" w:rsidRDefault="00D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21" w:rsidRDefault="007F352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FC9">
      <w:rPr>
        <w:rStyle w:val="ae"/>
        <w:noProof/>
      </w:rPr>
      <w:t>24</w:t>
    </w:r>
    <w:r>
      <w:rPr>
        <w:rStyle w:val="ae"/>
      </w:rPr>
      <w:fldChar w:fldCharType="end"/>
    </w:r>
  </w:p>
  <w:p w:rsidR="007F3521" w:rsidRDefault="007F3521">
    <w:pPr>
      <w:ind w:right="360"/>
      <w:jc w:val="both"/>
      <w:rPr>
        <w:rFonts w:ascii="細明體" w:eastAsia="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21" w:rsidRDefault="007F352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FC9">
      <w:rPr>
        <w:rStyle w:val="ae"/>
        <w:noProof/>
      </w:rPr>
      <w:t>25</w:t>
    </w:r>
    <w:r>
      <w:rPr>
        <w:rStyle w:val="ae"/>
      </w:rPr>
      <w:fldChar w:fldCharType="end"/>
    </w:r>
  </w:p>
  <w:p w:rsidR="007F3521" w:rsidRDefault="007F3521">
    <w:pPr>
      <w:ind w:right="360" w:firstLine="360"/>
      <w:jc w:val="right"/>
      <w:rPr>
        <w:rFonts w:ascii="細明體" w:eastAsia="細明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C5" w:rsidRDefault="004410C5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FC9">
      <w:rPr>
        <w:rStyle w:val="ae"/>
        <w:noProof/>
      </w:rPr>
      <w:t>34</w:t>
    </w:r>
    <w:r>
      <w:rPr>
        <w:rStyle w:val="ae"/>
      </w:rPr>
      <w:fldChar w:fldCharType="end"/>
    </w:r>
  </w:p>
  <w:p w:rsidR="004410C5" w:rsidRDefault="004410C5">
    <w:pPr>
      <w:ind w:right="360"/>
      <w:jc w:val="both"/>
      <w:rPr>
        <w:rFonts w:ascii="細明體" w:eastAsia="細明體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C5" w:rsidRDefault="004410C5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FC9">
      <w:rPr>
        <w:rStyle w:val="ae"/>
        <w:noProof/>
      </w:rPr>
      <w:t>33</w:t>
    </w:r>
    <w:r>
      <w:rPr>
        <w:rStyle w:val="ae"/>
      </w:rPr>
      <w:fldChar w:fldCharType="end"/>
    </w:r>
  </w:p>
  <w:p w:rsidR="004410C5" w:rsidRDefault="004410C5">
    <w:pPr>
      <w:ind w:right="360" w:firstLine="360"/>
      <w:jc w:val="right"/>
      <w:rPr>
        <w:rFonts w:ascii="細明體" w:eastAsia="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A1" w:rsidRDefault="00D971A1">
      <w:r>
        <w:separator/>
      </w:r>
    </w:p>
  </w:footnote>
  <w:footnote w:type="continuationSeparator" w:id="0">
    <w:p w:rsidR="00D971A1" w:rsidRDefault="00D9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36"/>
    <w:multiLevelType w:val="hybridMultilevel"/>
    <w:tmpl w:val="FDE02E4E"/>
    <w:lvl w:ilvl="0" w:tplc="ABD6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93D11"/>
    <w:multiLevelType w:val="hybridMultilevel"/>
    <w:tmpl w:val="F74CD51E"/>
    <w:lvl w:ilvl="0" w:tplc="E744CD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96046"/>
    <w:multiLevelType w:val="hybridMultilevel"/>
    <w:tmpl w:val="C3AC3C9C"/>
    <w:lvl w:ilvl="0" w:tplc="BBE0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A63426"/>
    <w:multiLevelType w:val="hybridMultilevel"/>
    <w:tmpl w:val="74D81E5C"/>
    <w:lvl w:ilvl="0" w:tplc="F630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590024D0"/>
    <w:multiLevelType w:val="hybridMultilevel"/>
    <w:tmpl w:val="D0EC94AE"/>
    <w:lvl w:ilvl="0" w:tplc="1FE0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1516D"/>
    <w:multiLevelType w:val="hybridMultilevel"/>
    <w:tmpl w:val="29BA4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EA1C08"/>
    <w:multiLevelType w:val="hybridMultilevel"/>
    <w:tmpl w:val="F1E808E4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238"/>
  <w:evenAndOddHeaders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0C5"/>
    <w:rsid w:val="00023985"/>
    <w:rsid w:val="00054C53"/>
    <w:rsid w:val="00060FC9"/>
    <w:rsid w:val="000B2156"/>
    <w:rsid w:val="000B29E6"/>
    <w:rsid w:val="001215D2"/>
    <w:rsid w:val="001337F9"/>
    <w:rsid w:val="001C391E"/>
    <w:rsid w:val="00232ED4"/>
    <w:rsid w:val="00243C74"/>
    <w:rsid w:val="002A1C82"/>
    <w:rsid w:val="002B2ACD"/>
    <w:rsid w:val="002D3329"/>
    <w:rsid w:val="00303F9D"/>
    <w:rsid w:val="00372342"/>
    <w:rsid w:val="003C24E4"/>
    <w:rsid w:val="003D787D"/>
    <w:rsid w:val="004139F5"/>
    <w:rsid w:val="004410C5"/>
    <w:rsid w:val="0048711C"/>
    <w:rsid w:val="004C394E"/>
    <w:rsid w:val="00541CF9"/>
    <w:rsid w:val="00542D6A"/>
    <w:rsid w:val="005877E9"/>
    <w:rsid w:val="005A6DBF"/>
    <w:rsid w:val="005E685A"/>
    <w:rsid w:val="006F3D95"/>
    <w:rsid w:val="007178AA"/>
    <w:rsid w:val="00757673"/>
    <w:rsid w:val="00784A7E"/>
    <w:rsid w:val="007B0746"/>
    <w:rsid w:val="007F23E4"/>
    <w:rsid w:val="007F3521"/>
    <w:rsid w:val="00803A19"/>
    <w:rsid w:val="008B2D81"/>
    <w:rsid w:val="008B5E86"/>
    <w:rsid w:val="008C491D"/>
    <w:rsid w:val="00A2079C"/>
    <w:rsid w:val="00AC3967"/>
    <w:rsid w:val="00AE5DF6"/>
    <w:rsid w:val="00BE02C0"/>
    <w:rsid w:val="00C954D9"/>
    <w:rsid w:val="00D93899"/>
    <w:rsid w:val="00D971A1"/>
    <w:rsid w:val="00DA4CB4"/>
    <w:rsid w:val="00E036EA"/>
    <w:rsid w:val="00EA2191"/>
    <w:rsid w:val="00EB53E3"/>
    <w:rsid w:val="00ED2C86"/>
    <w:rsid w:val="00EE611A"/>
    <w:rsid w:val="00F03EC0"/>
    <w:rsid w:val="00F207CE"/>
    <w:rsid w:val="00F314EA"/>
    <w:rsid w:val="00F819CA"/>
    <w:rsid w:val="00F86866"/>
    <w:rsid w:val="00F9075C"/>
    <w:rsid w:val="00FC1B25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4F658-926B-4619-B31D-97A4F5BA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semiHidden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semiHidden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">
    <w:name w:val="Body Text 2"/>
    <w:basedOn w:val="a"/>
    <w:semiHidden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</w:style>
  <w:style w:type="paragraph" w:styleId="3">
    <w:name w:val="Body Text 3"/>
    <w:basedOn w:val="a"/>
    <w:semiHidden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styleId="Web">
    <w:name w:val="Normal (Web)"/>
    <w:basedOn w:val="a"/>
    <w:semiHidden/>
    <w:rsid w:val="004410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">
    <w:name w:val="壹、"/>
    <w:basedOn w:val="a"/>
    <w:rsid w:val="006F3D95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af0">
    <w:name w:val="Note Heading"/>
    <w:basedOn w:val="a"/>
    <w:next w:val="a"/>
    <w:link w:val="af1"/>
    <w:rsid w:val="00FF27A8"/>
    <w:pPr>
      <w:jc w:val="center"/>
    </w:pPr>
    <w:rPr>
      <w:rFonts w:ascii="Times New Roman" w:eastAsia="新細明體"/>
      <w:sz w:val="24"/>
    </w:rPr>
  </w:style>
  <w:style w:type="paragraph" w:styleId="af2">
    <w:name w:val="Plain Text"/>
    <w:basedOn w:val="a"/>
    <w:link w:val="af3"/>
    <w:unhideWhenUsed/>
    <w:rsid w:val="001C391E"/>
    <w:rPr>
      <w:rFonts w:ascii="細明體" w:eastAsia="細明體" w:hAnsi="Courier New"/>
      <w:sz w:val="24"/>
      <w:szCs w:val="20"/>
      <w:lang w:val="x-none" w:eastAsia="x-none"/>
    </w:rPr>
  </w:style>
  <w:style w:type="character" w:customStyle="1" w:styleId="af3">
    <w:name w:val="純文字 字元"/>
    <w:link w:val="af2"/>
    <w:rsid w:val="001C391E"/>
    <w:rPr>
      <w:rFonts w:ascii="細明體" w:eastAsia="細明體" w:hAnsi="Courier New"/>
      <w:kern w:val="2"/>
      <w:sz w:val="24"/>
    </w:rPr>
  </w:style>
  <w:style w:type="character" w:customStyle="1" w:styleId="af1">
    <w:name w:val="註釋標題 字元"/>
    <w:link w:val="af0"/>
    <w:rsid w:val="00F819CA"/>
    <w:rPr>
      <w:kern w:val="2"/>
      <w:sz w:val="24"/>
      <w:szCs w:val="24"/>
    </w:rPr>
  </w:style>
  <w:style w:type="paragraph" w:styleId="30">
    <w:name w:val="Body Text Indent 3"/>
    <w:basedOn w:val="a"/>
    <w:link w:val="31"/>
    <w:semiHidden/>
    <w:rsid w:val="00023985"/>
    <w:pPr>
      <w:spacing w:line="260" w:lineRule="exact"/>
      <w:ind w:left="22" w:hangingChars="10" w:hanging="22"/>
      <w:jc w:val="both"/>
    </w:pPr>
    <w:rPr>
      <w:rFonts w:ascii="新細明體" w:eastAsia="新細明體"/>
      <w:sz w:val="22"/>
    </w:rPr>
  </w:style>
  <w:style w:type="character" w:customStyle="1" w:styleId="31">
    <w:name w:val="本文縮排 3 字元"/>
    <w:link w:val="30"/>
    <w:semiHidden/>
    <w:rsid w:val="00023985"/>
    <w:rPr>
      <w:rFonts w:ascii="新細明體"/>
      <w:kern w:val="2"/>
      <w:sz w:val="22"/>
      <w:szCs w:val="24"/>
    </w:rPr>
  </w:style>
  <w:style w:type="paragraph" w:customStyle="1" w:styleId="Pa3">
    <w:name w:val="Pa3"/>
    <w:basedOn w:val="a"/>
    <w:next w:val="a"/>
    <w:uiPriority w:val="99"/>
    <w:rsid w:val="007F3521"/>
    <w:pPr>
      <w:autoSpaceDE w:val="0"/>
      <w:autoSpaceDN w:val="0"/>
      <w:adjustRightInd w:val="0"/>
      <w:spacing w:line="227" w:lineRule="atLeast"/>
    </w:pPr>
    <w:rPr>
      <w:rFonts w:ascii="華康標黑體a.." w:eastAsia="華康標黑體a.."/>
      <w:kern w:val="0"/>
      <w:sz w:val="24"/>
    </w:rPr>
  </w:style>
  <w:style w:type="character" w:customStyle="1" w:styleId="A17">
    <w:name w:val="A17"/>
    <w:uiPriority w:val="99"/>
    <w:rsid w:val="007F3521"/>
    <w:rPr>
      <w:rFonts w:cs="華康標黑體a..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3837</Words>
  <Characters>21871</Characters>
  <DocSecurity>0</DocSecurity>
  <Lines>182</Lines>
  <Paragraphs>51</Paragraphs>
  <ScaleCrop>false</ScaleCrop>
  <LinksUpToDate>false</LinksUpToDate>
  <CharactersWithSpaces>25657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2006-10-27T01:15:00Z</cp:lastPrinted>
  <dcterms:created xsi:type="dcterms:W3CDTF">2017-06-19T07:35:00Z</dcterms:created>
  <dcterms:modified xsi:type="dcterms:W3CDTF">2018-06-11T06:04:00Z</dcterms:modified>
</cp:coreProperties>
</file>